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1E731" w14:textId="77777777" w:rsidR="00F42E53" w:rsidRDefault="002421D4">
      <w:pPr>
        <w:spacing w:after="0" w:line="259" w:lineRule="auto"/>
        <w:ind w:left="-619" w:right="1123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749FC6B" wp14:editId="4C657694">
                <wp:simplePos x="0" y="0"/>
                <wp:positionH relativeFrom="page">
                  <wp:posOffset>0</wp:posOffset>
                </wp:positionH>
                <wp:positionV relativeFrom="page">
                  <wp:posOffset>0</wp:posOffset>
                </wp:positionV>
                <wp:extent cx="7563612" cy="10693906"/>
                <wp:effectExtent l="0" t="0" r="0" b="0"/>
                <wp:wrapTopAndBottom/>
                <wp:docPr id="29416" name="Group 29416"/>
                <wp:cNvGraphicFramePr/>
                <a:graphic xmlns:a="http://schemas.openxmlformats.org/drawingml/2006/main">
                  <a:graphicData uri="http://schemas.microsoft.com/office/word/2010/wordprocessingGroup">
                    <wpg:wgp>
                      <wpg:cNvGrpSpPr/>
                      <wpg:grpSpPr>
                        <a:xfrm>
                          <a:off x="0" y="0"/>
                          <a:ext cx="7563612" cy="10693906"/>
                          <a:chOff x="0" y="0"/>
                          <a:chExt cx="7563612" cy="10693906"/>
                        </a:xfrm>
                      </wpg:grpSpPr>
                      <wps:wsp>
                        <wps:cNvPr id="6" name="Rectangle 6"/>
                        <wps:cNvSpPr/>
                        <wps:spPr>
                          <a:xfrm>
                            <a:off x="0" y="795"/>
                            <a:ext cx="33647" cy="229808"/>
                          </a:xfrm>
                          <a:prstGeom prst="rect">
                            <a:avLst/>
                          </a:prstGeom>
                          <a:ln>
                            <a:noFill/>
                          </a:ln>
                        </wps:spPr>
                        <wps:txbx>
                          <w:txbxContent>
                            <w:p w14:paraId="2119829B" w14:textId="77777777" w:rsidR="00F42E53" w:rsidRDefault="002421D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2804" name="Picture 32804"/>
                          <pic:cNvPicPr/>
                        </pic:nvPicPr>
                        <pic:blipFill>
                          <a:blip r:embed="rId7"/>
                          <a:stretch>
                            <a:fillRect/>
                          </a:stretch>
                        </pic:blipFill>
                        <pic:spPr>
                          <a:xfrm>
                            <a:off x="0" y="0"/>
                            <a:ext cx="7543800" cy="10692385"/>
                          </a:xfrm>
                          <a:prstGeom prst="rect">
                            <a:avLst/>
                          </a:prstGeom>
                        </pic:spPr>
                      </pic:pic>
                      <wps:wsp>
                        <wps:cNvPr id="9" name="Rectangle 9"/>
                        <wps:cNvSpPr/>
                        <wps:spPr>
                          <a:xfrm>
                            <a:off x="980237" y="3282721"/>
                            <a:ext cx="1933682" cy="1107509"/>
                          </a:xfrm>
                          <a:prstGeom prst="rect">
                            <a:avLst/>
                          </a:prstGeom>
                          <a:ln>
                            <a:noFill/>
                          </a:ln>
                        </wps:spPr>
                        <wps:txbx>
                          <w:txbxContent>
                            <w:p w14:paraId="1E97A27A" w14:textId="77777777" w:rsidR="00F42E53" w:rsidRDefault="002421D4">
                              <w:pPr>
                                <w:spacing w:after="160" w:line="259" w:lineRule="auto"/>
                                <w:ind w:left="0" w:firstLine="0"/>
                                <w:jc w:val="left"/>
                              </w:pPr>
                              <w:r>
                                <w:rPr>
                                  <w:rFonts w:ascii="Calibri" w:eastAsia="Calibri" w:hAnsi="Calibri" w:cs="Calibri"/>
                                  <w:color w:val="FFFFFF"/>
                                  <w:w w:val="116"/>
                                  <w:sz w:val="96"/>
                                </w:rPr>
                                <w:t>Data</w:t>
                              </w:r>
                              <w:r>
                                <w:rPr>
                                  <w:rFonts w:ascii="Calibri" w:eastAsia="Calibri" w:hAnsi="Calibri" w:cs="Calibri"/>
                                  <w:color w:val="FFFFFF"/>
                                  <w:spacing w:val="-25"/>
                                  <w:w w:val="116"/>
                                  <w:sz w:val="96"/>
                                </w:rPr>
                                <w:t xml:space="preserve"> </w:t>
                              </w:r>
                            </w:p>
                          </w:txbxContent>
                        </wps:txbx>
                        <wps:bodyPr horzOverflow="overflow" vert="horz" lIns="0" tIns="0" rIns="0" bIns="0" rtlCol="0">
                          <a:noAutofit/>
                        </wps:bodyPr>
                      </wps:wsp>
                      <wps:wsp>
                        <wps:cNvPr id="10" name="Rectangle 10"/>
                        <wps:cNvSpPr/>
                        <wps:spPr>
                          <a:xfrm>
                            <a:off x="2432939" y="3282721"/>
                            <a:ext cx="4143836" cy="1107509"/>
                          </a:xfrm>
                          <a:prstGeom prst="rect">
                            <a:avLst/>
                          </a:prstGeom>
                          <a:ln>
                            <a:noFill/>
                          </a:ln>
                        </wps:spPr>
                        <wps:txbx>
                          <w:txbxContent>
                            <w:p w14:paraId="64932210" w14:textId="77777777" w:rsidR="00F42E53" w:rsidRDefault="002421D4">
                              <w:pPr>
                                <w:spacing w:after="160" w:line="259" w:lineRule="auto"/>
                                <w:ind w:left="0" w:firstLine="0"/>
                                <w:jc w:val="left"/>
                              </w:pPr>
                              <w:r>
                                <w:rPr>
                                  <w:rFonts w:ascii="Calibri" w:eastAsia="Calibri" w:hAnsi="Calibri" w:cs="Calibri"/>
                                  <w:color w:val="FFFFFF"/>
                                  <w:w w:val="116"/>
                                  <w:sz w:val="96"/>
                                </w:rPr>
                                <w:t>Protection</w:t>
                              </w:r>
                              <w:r>
                                <w:rPr>
                                  <w:rFonts w:ascii="Calibri" w:eastAsia="Calibri" w:hAnsi="Calibri" w:cs="Calibri"/>
                                  <w:color w:val="FFFFFF"/>
                                  <w:spacing w:val="-25"/>
                                  <w:w w:val="116"/>
                                  <w:sz w:val="96"/>
                                </w:rPr>
                                <w:t xml:space="preserve"> </w:t>
                              </w:r>
                            </w:p>
                          </w:txbxContent>
                        </wps:txbx>
                        <wps:bodyPr horzOverflow="overflow" vert="horz" lIns="0" tIns="0" rIns="0" bIns="0" rtlCol="0">
                          <a:noAutofit/>
                        </wps:bodyPr>
                      </wps:wsp>
                      <wps:wsp>
                        <wps:cNvPr id="11" name="Rectangle 11"/>
                        <wps:cNvSpPr/>
                        <wps:spPr>
                          <a:xfrm>
                            <a:off x="980237" y="3896893"/>
                            <a:ext cx="1349118" cy="1107509"/>
                          </a:xfrm>
                          <a:prstGeom prst="rect">
                            <a:avLst/>
                          </a:prstGeom>
                          <a:ln>
                            <a:noFill/>
                          </a:ln>
                        </wps:spPr>
                        <wps:txbx>
                          <w:txbxContent>
                            <w:p w14:paraId="2CDF5CD8" w14:textId="77777777" w:rsidR="00F42E53" w:rsidRDefault="002421D4">
                              <w:pPr>
                                <w:spacing w:after="160" w:line="259" w:lineRule="auto"/>
                                <w:ind w:left="0" w:firstLine="0"/>
                                <w:jc w:val="left"/>
                              </w:pPr>
                              <w:r>
                                <w:rPr>
                                  <w:rFonts w:ascii="Calibri" w:eastAsia="Calibri" w:hAnsi="Calibri" w:cs="Calibri"/>
                                  <w:color w:val="FFFFFF"/>
                                  <w:w w:val="113"/>
                                  <w:sz w:val="96"/>
                                </w:rPr>
                                <w:t>Poli</w:t>
                              </w:r>
                            </w:p>
                          </w:txbxContent>
                        </wps:txbx>
                        <wps:bodyPr horzOverflow="overflow" vert="horz" lIns="0" tIns="0" rIns="0" bIns="0" rtlCol="0">
                          <a:noAutofit/>
                        </wps:bodyPr>
                      </wps:wsp>
                      <wps:wsp>
                        <wps:cNvPr id="12" name="Rectangle 12"/>
                        <wps:cNvSpPr/>
                        <wps:spPr>
                          <a:xfrm>
                            <a:off x="1993646" y="3896893"/>
                            <a:ext cx="2448520" cy="1107509"/>
                          </a:xfrm>
                          <a:prstGeom prst="rect">
                            <a:avLst/>
                          </a:prstGeom>
                          <a:ln>
                            <a:noFill/>
                          </a:ln>
                        </wps:spPr>
                        <wps:txbx>
                          <w:txbxContent>
                            <w:p w14:paraId="75720FC4" w14:textId="77777777" w:rsidR="00F42E53" w:rsidRDefault="002421D4">
                              <w:pPr>
                                <w:spacing w:after="160" w:line="259" w:lineRule="auto"/>
                                <w:ind w:left="0" w:firstLine="0"/>
                                <w:jc w:val="left"/>
                              </w:pPr>
                              <w:r>
                                <w:rPr>
                                  <w:rFonts w:ascii="Calibri" w:eastAsia="Calibri" w:hAnsi="Calibri" w:cs="Calibri"/>
                                  <w:color w:val="FFFFFF"/>
                                  <w:w w:val="109"/>
                                  <w:sz w:val="96"/>
                                </w:rPr>
                                <w:t>cy</w:t>
                              </w:r>
                              <w:r>
                                <w:rPr>
                                  <w:rFonts w:ascii="Calibri" w:eastAsia="Calibri" w:hAnsi="Calibri" w:cs="Calibri"/>
                                  <w:color w:val="FFFFFF"/>
                                  <w:spacing w:val="-25"/>
                                  <w:w w:val="109"/>
                                  <w:sz w:val="96"/>
                                </w:rPr>
                                <w:t xml:space="preserve"> </w:t>
                              </w:r>
                              <w:r>
                                <w:rPr>
                                  <w:rFonts w:ascii="Calibri" w:eastAsia="Calibri" w:hAnsi="Calibri" w:cs="Calibri"/>
                                  <w:color w:val="FFFFFF"/>
                                  <w:w w:val="109"/>
                                  <w:sz w:val="96"/>
                                </w:rPr>
                                <w:t>v4.1</w:t>
                              </w:r>
                            </w:p>
                          </w:txbxContent>
                        </wps:txbx>
                        <wps:bodyPr horzOverflow="overflow" vert="horz" lIns="0" tIns="0" rIns="0" bIns="0" rtlCol="0">
                          <a:noAutofit/>
                        </wps:bodyPr>
                      </wps:wsp>
                      <wps:wsp>
                        <wps:cNvPr id="13" name="Rectangle 13"/>
                        <wps:cNvSpPr/>
                        <wps:spPr>
                          <a:xfrm>
                            <a:off x="3835273" y="3896893"/>
                            <a:ext cx="162154" cy="1107509"/>
                          </a:xfrm>
                          <a:prstGeom prst="rect">
                            <a:avLst/>
                          </a:prstGeom>
                          <a:ln>
                            <a:noFill/>
                          </a:ln>
                        </wps:spPr>
                        <wps:txbx>
                          <w:txbxContent>
                            <w:p w14:paraId="60D12ACD" w14:textId="77777777" w:rsidR="00F42E53" w:rsidRDefault="002421D4">
                              <w:pPr>
                                <w:spacing w:after="160" w:line="259" w:lineRule="auto"/>
                                <w:ind w:left="0" w:firstLine="0"/>
                                <w:jc w:val="left"/>
                              </w:pPr>
                              <w:r>
                                <w:rPr>
                                  <w:rFonts w:ascii="Calibri" w:eastAsia="Calibri" w:hAnsi="Calibri" w:cs="Calibri"/>
                                  <w:color w:val="FFFFFF"/>
                                  <w:sz w:val="96"/>
                                </w:rPr>
                                <w:t xml:space="preserve"> </w:t>
                              </w:r>
                            </w:p>
                          </w:txbxContent>
                        </wps:txbx>
                        <wps:bodyPr horzOverflow="overflow" vert="horz" lIns="0" tIns="0" rIns="0" bIns="0" rtlCol="0">
                          <a:noAutofit/>
                        </wps:bodyPr>
                      </wps:wsp>
                      <wps:wsp>
                        <wps:cNvPr id="14" name="Rectangle 14"/>
                        <wps:cNvSpPr/>
                        <wps:spPr>
                          <a:xfrm>
                            <a:off x="980237" y="5039733"/>
                            <a:ext cx="2372761" cy="531604"/>
                          </a:xfrm>
                          <a:prstGeom prst="rect">
                            <a:avLst/>
                          </a:prstGeom>
                          <a:ln>
                            <a:noFill/>
                          </a:ln>
                        </wps:spPr>
                        <wps:txbx>
                          <w:txbxContent>
                            <w:p w14:paraId="3B304C11" w14:textId="77777777" w:rsidR="00F42E53" w:rsidRDefault="002421D4">
                              <w:pPr>
                                <w:spacing w:after="160" w:line="259" w:lineRule="auto"/>
                                <w:ind w:left="0" w:firstLine="0"/>
                                <w:jc w:val="left"/>
                              </w:pPr>
                              <w:r>
                                <w:rPr>
                                  <w:rFonts w:ascii="Calibri" w:eastAsia="Calibri" w:hAnsi="Calibri" w:cs="Calibri"/>
                                  <w:color w:val="FFFFFF"/>
                                  <w:w w:val="114"/>
                                  <w:sz w:val="46"/>
                                </w:rPr>
                                <w:t>Policy</w:t>
                              </w:r>
                              <w:r>
                                <w:rPr>
                                  <w:rFonts w:ascii="Calibri" w:eastAsia="Calibri" w:hAnsi="Calibri" w:cs="Calibri"/>
                                  <w:color w:val="FFFFFF"/>
                                  <w:spacing w:val="-13"/>
                                  <w:w w:val="114"/>
                                  <w:sz w:val="46"/>
                                </w:rPr>
                                <w:t xml:space="preserve"> </w:t>
                              </w:r>
                              <w:r>
                                <w:rPr>
                                  <w:rFonts w:ascii="Calibri" w:eastAsia="Calibri" w:hAnsi="Calibri" w:cs="Calibri"/>
                                  <w:color w:val="FFFFFF"/>
                                  <w:w w:val="114"/>
                                  <w:sz w:val="46"/>
                                </w:rPr>
                                <w:t>Folder:</w:t>
                              </w:r>
                            </w:p>
                          </w:txbxContent>
                        </wps:txbx>
                        <wps:bodyPr horzOverflow="overflow" vert="horz" lIns="0" tIns="0" rIns="0" bIns="0" rtlCol="0">
                          <a:noAutofit/>
                        </wps:bodyPr>
                      </wps:wsp>
                      <wps:wsp>
                        <wps:cNvPr id="15" name="Rectangle 15"/>
                        <wps:cNvSpPr/>
                        <wps:spPr>
                          <a:xfrm>
                            <a:off x="2763647" y="5039733"/>
                            <a:ext cx="77834" cy="531604"/>
                          </a:xfrm>
                          <a:prstGeom prst="rect">
                            <a:avLst/>
                          </a:prstGeom>
                          <a:ln>
                            <a:noFill/>
                          </a:ln>
                        </wps:spPr>
                        <wps:txbx>
                          <w:txbxContent>
                            <w:p w14:paraId="0D108DCB" w14:textId="77777777" w:rsidR="00F42E53" w:rsidRDefault="002421D4">
                              <w:pPr>
                                <w:spacing w:after="160" w:line="259" w:lineRule="auto"/>
                                <w:ind w:left="0" w:firstLine="0"/>
                                <w:jc w:val="left"/>
                              </w:pPr>
                              <w:r>
                                <w:rPr>
                                  <w:rFonts w:ascii="Calibri" w:eastAsia="Calibri" w:hAnsi="Calibri" w:cs="Calibri"/>
                                  <w:color w:val="FFFFFF"/>
                                  <w:sz w:val="46"/>
                                </w:rPr>
                                <w:t xml:space="preserve"> </w:t>
                              </w:r>
                            </w:p>
                          </w:txbxContent>
                        </wps:txbx>
                        <wps:bodyPr horzOverflow="overflow" vert="horz" lIns="0" tIns="0" rIns="0" bIns="0" rtlCol="0">
                          <a:noAutofit/>
                        </wps:bodyPr>
                      </wps:wsp>
                      <wps:wsp>
                        <wps:cNvPr id="16" name="Rectangle 16"/>
                        <wps:cNvSpPr/>
                        <wps:spPr>
                          <a:xfrm>
                            <a:off x="2821559" y="5039733"/>
                            <a:ext cx="2838986" cy="531604"/>
                          </a:xfrm>
                          <a:prstGeom prst="rect">
                            <a:avLst/>
                          </a:prstGeom>
                          <a:ln>
                            <a:noFill/>
                          </a:ln>
                        </wps:spPr>
                        <wps:txbx>
                          <w:txbxContent>
                            <w:p w14:paraId="0E826819" w14:textId="77777777" w:rsidR="00F42E53" w:rsidRDefault="002421D4">
                              <w:pPr>
                                <w:spacing w:after="160" w:line="259" w:lineRule="auto"/>
                                <w:ind w:left="0" w:firstLine="0"/>
                                <w:jc w:val="left"/>
                              </w:pPr>
                              <w:r>
                                <w:rPr>
                                  <w:rFonts w:ascii="Calibri" w:eastAsia="Calibri" w:hAnsi="Calibri" w:cs="Calibri"/>
                                  <w:color w:val="FFFFFF"/>
                                  <w:w w:val="116"/>
                                  <w:sz w:val="46"/>
                                </w:rPr>
                                <w:t>Data</w:t>
                              </w:r>
                              <w:r>
                                <w:rPr>
                                  <w:rFonts w:ascii="Calibri" w:eastAsia="Calibri" w:hAnsi="Calibri" w:cs="Calibri"/>
                                  <w:color w:val="FFFFFF"/>
                                  <w:spacing w:val="-12"/>
                                  <w:w w:val="116"/>
                                  <w:sz w:val="46"/>
                                </w:rPr>
                                <w:t xml:space="preserve"> </w:t>
                              </w:r>
                              <w:r>
                                <w:rPr>
                                  <w:rFonts w:ascii="Calibri" w:eastAsia="Calibri" w:hAnsi="Calibri" w:cs="Calibri"/>
                                  <w:color w:val="FFFFFF"/>
                                  <w:w w:val="116"/>
                                  <w:sz w:val="46"/>
                                </w:rPr>
                                <w:t>Protection</w:t>
                              </w:r>
                            </w:p>
                          </w:txbxContent>
                        </wps:txbx>
                        <wps:bodyPr horzOverflow="overflow" vert="horz" lIns="0" tIns="0" rIns="0" bIns="0" rtlCol="0">
                          <a:noAutofit/>
                        </wps:bodyPr>
                      </wps:wsp>
                      <wps:wsp>
                        <wps:cNvPr id="17" name="Rectangle 17"/>
                        <wps:cNvSpPr/>
                        <wps:spPr>
                          <a:xfrm>
                            <a:off x="4955413" y="5039733"/>
                            <a:ext cx="77834" cy="531604"/>
                          </a:xfrm>
                          <a:prstGeom prst="rect">
                            <a:avLst/>
                          </a:prstGeom>
                          <a:ln>
                            <a:noFill/>
                          </a:ln>
                        </wps:spPr>
                        <wps:txbx>
                          <w:txbxContent>
                            <w:p w14:paraId="22F43FFA" w14:textId="77777777" w:rsidR="00F42E53" w:rsidRDefault="002421D4">
                              <w:pPr>
                                <w:spacing w:after="160" w:line="259" w:lineRule="auto"/>
                                <w:ind w:left="0" w:firstLine="0"/>
                                <w:jc w:val="left"/>
                              </w:pPr>
                              <w:r>
                                <w:rPr>
                                  <w:rFonts w:ascii="Calibri" w:eastAsia="Calibri" w:hAnsi="Calibri" w:cs="Calibri"/>
                                  <w:color w:val="FFFFFF"/>
                                  <w:sz w:val="46"/>
                                </w:rPr>
                                <w:t xml:space="preserve"> </w:t>
                              </w:r>
                            </w:p>
                          </w:txbxContent>
                        </wps:txbx>
                        <wps:bodyPr horzOverflow="overflow" vert="horz" lIns="0" tIns="0" rIns="0" bIns="0" rtlCol="0">
                          <a:noAutofit/>
                        </wps:bodyPr>
                      </wps:wsp>
                      <wps:wsp>
                        <wps:cNvPr id="18" name="Rectangle 18"/>
                        <wps:cNvSpPr/>
                        <wps:spPr>
                          <a:xfrm>
                            <a:off x="980237" y="5426219"/>
                            <a:ext cx="37295" cy="254727"/>
                          </a:xfrm>
                          <a:prstGeom prst="rect">
                            <a:avLst/>
                          </a:prstGeom>
                          <a:ln>
                            <a:noFill/>
                          </a:ln>
                        </wps:spPr>
                        <wps:txbx>
                          <w:txbxContent>
                            <w:p w14:paraId="391451E3" w14:textId="77777777" w:rsidR="00F42E53" w:rsidRDefault="002421D4">
                              <w:pPr>
                                <w:spacing w:after="160" w:line="259" w:lineRule="auto"/>
                                <w:ind w:lef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9416" style="width:595.56pt;height:842.04pt;position:absolute;mso-position-horizontal-relative:page;mso-position-horizontal:absolute;margin-left:0pt;mso-position-vertical-relative:page;margin-top:0pt;" coordsize="75636,106939">
                <v:rect id="Rectangle 6" style="position:absolute;width:336;height:2298;left:0;top:7;"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Picture 32804" style="position:absolute;width:75438;height:106923;left:0;top:0;" filled="f">
                  <v:imagedata r:id="rId13"/>
                </v:shape>
                <v:rect id="Rectangle 9" style="position:absolute;width:19336;height:11075;left:9802;top:32827;" filled="f" stroked="f">
                  <v:textbox inset="0,0,0,0">
                    <w:txbxContent>
                      <w:p>
                        <w:pPr>
                          <w:spacing w:before="0" w:after="160" w:line="259" w:lineRule="auto"/>
                          <w:ind w:left="0" w:firstLine="0"/>
                          <w:jc w:val="left"/>
                        </w:pPr>
                        <w:r>
                          <w:rPr>
                            <w:rFonts w:cs="Calibri" w:hAnsi="Calibri" w:eastAsia="Calibri" w:ascii="Calibri"/>
                            <w:color w:val="ffffff"/>
                            <w:w w:val="116"/>
                            <w:sz w:val="96"/>
                          </w:rPr>
                          <w:t xml:space="preserve">Data</w:t>
                        </w:r>
                        <w:r>
                          <w:rPr>
                            <w:rFonts w:cs="Calibri" w:hAnsi="Calibri" w:eastAsia="Calibri" w:ascii="Calibri"/>
                            <w:color w:val="ffffff"/>
                            <w:spacing w:val="-25"/>
                            <w:w w:val="116"/>
                            <w:sz w:val="96"/>
                          </w:rPr>
                          <w:t xml:space="preserve"> </w:t>
                        </w:r>
                      </w:p>
                    </w:txbxContent>
                  </v:textbox>
                </v:rect>
                <v:rect id="Rectangle 10" style="position:absolute;width:41438;height:11075;left:24329;top:32827;" filled="f" stroked="f">
                  <v:textbox inset="0,0,0,0">
                    <w:txbxContent>
                      <w:p>
                        <w:pPr>
                          <w:spacing w:before="0" w:after="160" w:line="259" w:lineRule="auto"/>
                          <w:ind w:left="0" w:firstLine="0"/>
                          <w:jc w:val="left"/>
                        </w:pPr>
                        <w:r>
                          <w:rPr>
                            <w:rFonts w:cs="Calibri" w:hAnsi="Calibri" w:eastAsia="Calibri" w:ascii="Calibri"/>
                            <w:color w:val="ffffff"/>
                            <w:w w:val="116"/>
                            <w:sz w:val="96"/>
                          </w:rPr>
                          <w:t xml:space="preserve">Protection</w:t>
                        </w:r>
                        <w:r>
                          <w:rPr>
                            <w:rFonts w:cs="Calibri" w:hAnsi="Calibri" w:eastAsia="Calibri" w:ascii="Calibri"/>
                            <w:color w:val="ffffff"/>
                            <w:spacing w:val="-25"/>
                            <w:w w:val="116"/>
                            <w:sz w:val="96"/>
                          </w:rPr>
                          <w:t xml:space="preserve"> </w:t>
                        </w:r>
                      </w:p>
                    </w:txbxContent>
                  </v:textbox>
                </v:rect>
                <v:rect id="Rectangle 11" style="position:absolute;width:13491;height:11075;left:9802;top:38968;" filled="f" stroked="f">
                  <v:textbox inset="0,0,0,0">
                    <w:txbxContent>
                      <w:p>
                        <w:pPr>
                          <w:spacing w:before="0" w:after="160" w:line="259" w:lineRule="auto"/>
                          <w:ind w:left="0" w:firstLine="0"/>
                          <w:jc w:val="left"/>
                        </w:pPr>
                        <w:r>
                          <w:rPr>
                            <w:rFonts w:cs="Calibri" w:hAnsi="Calibri" w:eastAsia="Calibri" w:ascii="Calibri"/>
                            <w:color w:val="ffffff"/>
                            <w:w w:val="113"/>
                            <w:sz w:val="96"/>
                          </w:rPr>
                          <w:t xml:space="preserve">Poli</w:t>
                        </w:r>
                      </w:p>
                    </w:txbxContent>
                  </v:textbox>
                </v:rect>
                <v:rect id="Rectangle 12" style="position:absolute;width:24485;height:11075;left:19936;top:38968;" filled="f" stroked="f">
                  <v:textbox inset="0,0,0,0">
                    <w:txbxContent>
                      <w:p>
                        <w:pPr>
                          <w:spacing w:before="0" w:after="160" w:line="259" w:lineRule="auto"/>
                          <w:ind w:left="0" w:firstLine="0"/>
                          <w:jc w:val="left"/>
                        </w:pPr>
                        <w:r>
                          <w:rPr>
                            <w:rFonts w:cs="Calibri" w:hAnsi="Calibri" w:eastAsia="Calibri" w:ascii="Calibri"/>
                            <w:color w:val="ffffff"/>
                            <w:w w:val="109"/>
                            <w:sz w:val="96"/>
                          </w:rPr>
                          <w:t xml:space="preserve">cy</w:t>
                        </w:r>
                        <w:r>
                          <w:rPr>
                            <w:rFonts w:cs="Calibri" w:hAnsi="Calibri" w:eastAsia="Calibri" w:ascii="Calibri"/>
                            <w:color w:val="ffffff"/>
                            <w:spacing w:val="-25"/>
                            <w:w w:val="109"/>
                            <w:sz w:val="96"/>
                          </w:rPr>
                          <w:t xml:space="preserve"> </w:t>
                        </w:r>
                        <w:r>
                          <w:rPr>
                            <w:rFonts w:cs="Calibri" w:hAnsi="Calibri" w:eastAsia="Calibri" w:ascii="Calibri"/>
                            <w:color w:val="ffffff"/>
                            <w:w w:val="109"/>
                            <w:sz w:val="96"/>
                          </w:rPr>
                          <w:t xml:space="preserve">v4.1</w:t>
                        </w:r>
                      </w:p>
                    </w:txbxContent>
                  </v:textbox>
                </v:rect>
                <v:rect id="Rectangle 13" style="position:absolute;width:1621;height:11075;left:38352;top:38968;" filled="f" stroked="f">
                  <v:textbox inset="0,0,0,0">
                    <w:txbxContent>
                      <w:p>
                        <w:pPr>
                          <w:spacing w:before="0" w:after="160" w:line="259" w:lineRule="auto"/>
                          <w:ind w:left="0" w:firstLine="0"/>
                          <w:jc w:val="left"/>
                        </w:pPr>
                        <w:r>
                          <w:rPr>
                            <w:rFonts w:cs="Calibri" w:hAnsi="Calibri" w:eastAsia="Calibri" w:ascii="Calibri"/>
                            <w:color w:val="ffffff"/>
                            <w:sz w:val="96"/>
                          </w:rPr>
                          <w:t xml:space="preserve"> </w:t>
                        </w:r>
                      </w:p>
                    </w:txbxContent>
                  </v:textbox>
                </v:rect>
                <v:rect id="Rectangle 14" style="position:absolute;width:23727;height:5316;left:9802;top:50397;" filled="f" stroked="f">
                  <v:textbox inset="0,0,0,0">
                    <w:txbxContent>
                      <w:p>
                        <w:pPr>
                          <w:spacing w:before="0" w:after="160" w:line="259" w:lineRule="auto"/>
                          <w:ind w:left="0" w:firstLine="0"/>
                          <w:jc w:val="left"/>
                        </w:pPr>
                        <w:r>
                          <w:rPr>
                            <w:rFonts w:cs="Calibri" w:hAnsi="Calibri" w:eastAsia="Calibri" w:ascii="Calibri"/>
                            <w:color w:val="ffffff"/>
                            <w:w w:val="114"/>
                            <w:sz w:val="46"/>
                          </w:rPr>
                          <w:t xml:space="preserve">Policy</w:t>
                        </w:r>
                        <w:r>
                          <w:rPr>
                            <w:rFonts w:cs="Calibri" w:hAnsi="Calibri" w:eastAsia="Calibri" w:ascii="Calibri"/>
                            <w:color w:val="ffffff"/>
                            <w:spacing w:val="-13"/>
                            <w:w w:val="114"/>
                            <w:sz w:val="46"/>
                          </w:rPr>
                          <w:t xml:space="preserve"> </w:t>
                        </w:r>
                        <w:r>
                          <w:rPr>
                            <w:rFonts w:cs="Calibri" w:hAnsi="Calibri" w:eastAsia="Calibri" w:ascii="Calibri"/>
                            <w:color w:val="ffffff"/>
                            <w:w w:val="114"/>
                            <w:sz w:val="46"/>
                          </w:rPr>
                          <w:t xml:space="preserve">Folder:</w:t>
                        </w:r>
                      </w:p>
                    </w:txbxContent>
                  </v:textbox>
                </v:rect>
                <v:rect id="Rectangle 15" style="position:absolute;width:778;height:5316;left:27636;top:50397;" filled="f" stroked="f">
                  <v:textbox inset="0,0,0,0">
                    <w:txbxContent>
                      <w:p>
                        <w:pPr>
                          <w:spacing w:before="0" w:after="160" w:line="259" w:lineRule="auto"/>
                          <w:ind w:left="0" w:firstLine="0"/>
                          <w:jc w:val="left"/>
                        </w:pPr>
                        <w:r>
                          <w:rPr>
                            <w:rFonts w:cs="Calibri" w:hAnsi="Calibri" w:eastAsia="Calibri" w:ascii="Calibri"/>
                            <w:color w:val="ffffff"/>
                            <w:sz w:val="46"/>
                          </w:rPr>
                          <w:t xml:space="preserve"> </w:t>
                        </w:r>
                      </w:p>
                    </w:txbxContent>
                  </v:textbox>
                </v:rect>
                <v:rect id="Rectangle 16" style="position:absolute;width:28389;height:5316;left:28215;top:50397;" filled="f" stroked="f">
                  <v:textbox inset="0,0,0,0">
                    <w:txbxContent>
                      <w:p>
                        <w:pPr>
                          <w:spacing w:before="0" w:after="160" w:line="259" w:lineRule="auto"/>
                          <w:ind w:left="0" w:firstLine="0"/>
                          <w:jc w:val="left"/>
                        </w:pPr>
                        <w:r>
                          <w:rPr>
                            <w:rFonts w:cs="Calibri" w:hAnsi="Calibri" w:eastAsia="Calibri" w:ascii="Calibri"/>
                            <w:color w:val="ffffff"/>
                            <w:w w:val="116"/>
                            <w:sz w:val="46"/>
                          </w:rPr>
                          <w:t xml:space="preserve">Data</w:t>
                        </w:r>
                        <w:r>
                          <w:rPr>
                            <w:rFonts w:cs="Calibri" w:hAnsi="Calibri" w:eastAsia="Calibri" w:ascii="Calibri"/>
                            <w:color w:val="ffffff"/>
                            <w:spacing w:val="-12"/>
                            <w:w w:val="116"/>
                            <w:sz w:val="46"/>
                          </w:rPr>
                          <w:t xml:space="preserve"> </w:t>
                        </w:r>
                        <w:r>
                          <w:rPr>
                            <w:rFonts w:cs="Calibri" w:hAnsi="Calibri" w:eastAsia="Calibri" w:ascii="Calibri"/>
                            <w:color w:val="ffffff"/>
                            <w:w w:val="116"/>
                            <w:sz w:val="46"/>
                          </w:rPr>
                          <w:t xml:space="preserve">Protection</w:t>
                        </w:r>
                      </w:p>
                    </w:txbxContent>
                  </v:textbox>
                </v:rect>
                <v:rect id="Rectangle 17" style="position:absolute;width:778;height:5316;left:49554;top:50397;" filled="f" stroked="f">
                  <v:textbox inset="0,0,0,0">
                    <w:txbxContent>
                      <w:p>
                        <w:pPr>
                          <w:spacing w:before="0" w:after="160" w:line="259" w:lineRule="auto"/>
                          <w:ind w:left="0" w:firstLine="0"/>
                          <w:jc w:val="left"/>
                        </w:pPr>
                        <w:r>
                          <w:rPr>
                            <w:rFonts w:cs="Calibri" w:hAnsi="Calibri" w:eastAsia="Calibri" w:ascii="Calibri"/>
                            <w:color w:val="ffffff"/>
                            <w:sz w:val="46"/>
                          </w:rPr>
                          <w:t xml:space="preserve"> </w:t>
                        </w:r>
                      </w:p>
                    </w:txbxContent>
                  </v:textbox>
                </v:rect>
                <v:rect id="Rectangle 18" style="position:absolute;width:372;height:2547;left:9802;top:54262;" filled="f" stroked="f">
                  <v:textbox inset="0,0,0,0">
                    <w:txbxContent>
                      <w:p>
                        <w:pPr>
                          <w:spacing w:before="0" w:after="160" w:line="259" w:lineRule="auto"/>
                          <w:ind w:left="0" w:firstLine="0"/>
                          <w:jc w:val="left"/>
                        </w:pPr>
                        <w:r>
                          <w:rPr>
                            <w:rFonts w:cs="Calibri" w:hAnsi="Calibri" w:eastAsia="Calibri" w:ascii="Calibri"/>
                            <w:color w:val="ffffff"/>
                            <w:sz w:val="22"/>
                          </w:rPr>
                          <w:t xml:space="preserve"> </w:t>
                        </w:r>
                      </w:p>
                    </w:txbxContent>
                  </v:textbox>
                </v:rect>
                <w10:wrap type="topAndBottom"/>
              </v:group>
            </w:pict>
          </mc:Fallback>
        </mc:AlternateContent>
      </w:r>
      <w:r>
        <w:br w:type="page"/>
      </w:r>
    </w:p>
    <w:p w14:paraId="3C3F21E3" w14:textId="77777777" w:rsidR="00F42E53" w:rsidRDefault="002421D4">
      <w:pPr>
        <w:spacing w:after="23" w:line="259" w:lineRule="auto"/>
        <w:ind w:left="101" w:firstLine="0"/>
        <w:jc w:val="left"/>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5D03C832" w14:textId="77777777" w:rsidR="00F42E53" w:rsidRDefault="002421D4">
      <w:pPr>
        <w:spacing w:after="194" w:line="259" w:lineRule="auto"/>
        <w:ind w:left="0" w:firstLine="0"/>
        <w:jc w:val="left"/>
      </w:pPr>
      <w:r>
        <w:rPr>
          <w:rFonts w:ascii="Calibri" w:eastAsia="Calibri" w:hAnsi="Calibri" w:cs="Calibri"/>
          <w:sz w:val="21"/>
        </w:rPr>
        <w:t xml:space="preserve"> </w:t>
      </w:r>
    </w:p>
    <w:p w14:paraId="752411FC" w14:textId="77777777" w:rsidR="00F42E53" w:rsidRDefault="002421D4">
      <w:pPr>
        <w:spacing w:after="0" w:line="259" w:lineRule="auto"/>
        <w:ind w:left="0" w:right="45" w:firstLine="0"/>
        <w:jc w:val="center"/>
      </w:pPr>
      <w:r>
        <w:rPr>
          <w:b/>
        </w:rPr>
        <w:t xml:space="preserve">DATA PROTECTION POLICY </w:t>
      </w:r>
    </w:p>
    <w:p w14:paraId="03D2D900" w14:textId="77777777" w:rsidR="00F42E53" w:rsidRDefault="002421D4">
      <w:pPr>
        <w:spacing w:after="0" w:line="259" w:lineRule="auto"/>
        <w:ind w:left="0" w:firstLine="0"/>
        <w:jc w:val="left"/>
      </w:pPr>
      <w:r>
        <w:rPr>
          <w:b/>
        </w:rPr>
        <w:t xml:space="preserve"> </w:t>
      </w:r>
    </w:p>
    <w:p w14:paraId="4ADB9091" w14:textId="77777777" w:rsidR="00F42E53" w:rsidRDefault="002421D4">
      <w:pPr>
        <w:spacing w:after="0" w:line="259" w:lineRule="auto"/>
        <w:ind w:left="0" w:firstLine="0"/>
        <w:jc w:val="left"/>
      </w:pPr>
      <w:r>
        <w:rPr>
          <w:b/>
        </w:rPr>
        <w:t xml:space="preserve"> </w:t>
      </w:r>
    </w:p>
    <w:p w14:paraId="6445F406" w14:textId="77777777" w:rsidR="00F42E53" w:rsidRDefault="002421D4">
      <w:pPr>
        <w:spacing w:after="0" w:line="259" w:lineRule="auto"/>
        <w:ind w:left="0" w:firstLine="0"/>
        <w:jc w:val="left"/>
      </w:pPr>
      <w:r>
        <w:rPr>
          <w:b/>
        </w:rPr>
        <w:t xml:space="preserve"> </w:t>
      </w:r>
    </w:p>
    <w:sdt>
      <w:sdtPr>
        <w:id w:val="1678078263"/>
        <w:docPartObj>
          <w:docPartGallery w:val="Table of Contents"/>
        </w:docPartObj>
      </w:sdtPr>
      <w:sdtEndPr/>
      <w:sdtContent>
        <w:p w14:paraId="6AAF72DA" w14:textId="77777777" w:rsidR="00F42E53" w:rsidRDefault="002421D4">
          <w:pPr>
            <w:spacing w:after="4" w:line="268" w:lineRule="auto"/>
            <w:ind w:left="214" w:hanging="10"/>
            <w:jc w:val="left"/>
          </w:pPr>
          <w:r>
            <w:rPr>
              <w:b/>
            </w:rPr>
            <w:t xml:space="preserve">CONTENTS </w:t>
          </w:r>
        </w:p>
        <w:p w14:paraId="67D60BE1" w14:textId="77777777" w:rsidR="00F42E53" w:rsidRDefault="002421D4">
          <w:pPr>
            <w:spacing w:after="26" w:line="259" w:lineRule="auto"/>
            <w:ind w:left="10" w:right="266" w:hanging="10"/>
            <w:jc w:val="right"/>
          </w:pPr>
          <w:r>
            <w:rPr>
              <w:b/>
            </w:rPr>
            <w:t xml:space="preserve">Page </w:t>
          </w:r>
        </w:p>
        <w:p w14:paraId="1992AC27" w14:textId="77777777" w:rsidR="00F42E53" w:rsidRDefault="002421D4">
          <w:pPr>
            <w:pStyle w:val="TOC1"/>
            <w:tabs>
              <w:tab w:val="right" w:leader="dot" w:pos="10620"/>
            </w:tabs>
          </w:pPr>
          <w:r>
            <w:fldChar w:fldCharType="begin"/>
          </w:r>
          <w:r>
            <w:instrText xml:space="preserve"> TOC \o "1-1" \h \z \u </w:instrText>
          </w:r>
          <w:r>
            <w:fldChar w:fldCharType="separate"/>
          </w:r>
          <w:hyperlink w:anchor="_Toc33367">
            <w:r>
              <w:rPr>
                <w:sz w:val="22"/>
              </w:rPr>
              <w:t xml:space="preserve">1.0  </w:t>
            </w:r>
            <w:r>
              <w:t>INTRODUCTION</w:t>
            </w:r>
            <w:r>
              <w:tab/>
            </w:r>
            <w:r>
              <w:fldChar w:fldCharType="begin"/>
            </w:r>
            <w:r>
              <w:instrText>PAGEREF _Toc33367 \h</w:instrText>
            </w:r>
            <w:r>
              <w:fldChar w:fldCharType="separate"/>
            </w:r>
            <w:r>
              <w:t xml:space="preserve">2 </w:t>
            </w:r>
            <w:r>
              <w:fldChar w:fldCharType="end"/>
            </w:r>
          </w:hyperlink>
        </w:p>
        <w:p w14:paraId="2AE31FD9" w14:textId="77777777" w:rsidR="00F42E53" w:rsidRDefault="002421D4">
          <w:pPr>
            <w:pStyle w:val="TOC1"/>
            <w:tabs>
              <w:tab w:val="right" w:leader="dot" w:pos="10620"/>
            </w:tabs>
          </w:pPr>
          <w:hyperlink w:anchor="_Toc33368">
            <w:r>
              <w:rPr>
                <w:sz w:val="22"/>
              </w:rPr>
              <w:t xml:space="preserve">2.0  </w:t>
            </w:r>
            <w:r>
              <w:t>DEFINITIONS</w:t>
            </w:r>
            <w:r>
              <w:tab/>
            </w:r>
            <w:r>
              <w:fldChar w:fldCharType="begin"/>
            </w:r>
            <w:r>
              <w:instrText>PAGEREF _Toc33368 \h</w:instrText>
            </w:r>
            <w:r>
              <w:fldChar w:fldCharType="separate"/>
            </w:r>
            <w:r>
              <w:t xml:space="preserve">3 </w:t>
            </w:r>
            <w:r>
              <w:fldChar w:fldCharType="end"/>
            </w:r>
          </w:hyperlink>
        </w:p>
        <w:p w14:paraId="66498CD7" w14:textId="77777777" w:rsidR="00F42E53" w:rsidRDefault="002421D4">
          <w:pPr>
            <w:pStyle w:val="TOC1"/>
            <w:tabs>
              <w:tab w:val="right" w:leader="dot" w:pos="10620"/>
            </w:tabs>
          </w:pPr>
          <w:hyperlink w:anchor="_Toc33369">
            <w:r>
              <w:rPr>
                <w:sz w:val="22"/>
              </w:rPr>
              <w:t xml:space="preserve">3.0  </w:t>
            </w:r>
            <w:r>
              <w:t>ROLES AND RESPONSIBILITIES</w:t>
            </w:r>
            <w:r>
              <w:tab/>
            </w:r>
            <w:r>
              <w:fldChar w:fldCharType="begin"/>
            </w:r>
            <w:r>
              <w:instrText>PAGEREF _Toc33369 \h</w:instrText>
            </w:r>
            <w:r>
              <w:fldChar w:fldCharType="separate"/>
            </w:r>
            <w:r>
              <w:t xml:space="preserve">4 </w:t>
            </w:r>
            <w:r>
              <w:fldChar w:fldCharType="end"/>
            </w:r>
          </w:hyperlink>
        </w:p>
        <w:p w14:paraId="2EACF91C" w14:textId="77777777" w:rsidR="00F42E53" w:rsidRDefault="002421D4">
          <w:pPr>
            <w:pStyle w:val="TOC1"/>
            <w:tabs>
              <w:tab w:val="right" w:leader="dot" w:pos="10620"/>
            </w:tabs>
          </w:pPr>
          <w:hyperlink w:anchor="_Toc33370">
            <w:r>
              <w:rPr>
                <w:sz w:val="22"/>
              </w:rPr>
              <w:t xml:space="preserve">4.0 </w:t>
            </w:r>
            <w:r>
              <w:t>COLLECTING PERSONAL DATA &amp; CONSENT</w:t>
            </w:r>
            <w:r>
              <w:tab/>
            </w:r>
            <w:r>
              <w:fldChar w:fldCharType="begin"/>
            </w:r>
            <w:r>
              <w:instrText>PAGEREF _Toc33370 \h</w:instrText>
            </w:r>
            <w:r>
              <w:fldChar w:fldCharType="separate"/>
            </w:r>
            <w:r>
              <w:t xml:space="preserve">5 </w:t>
            </w:r>
            <w:r>
              <w:fldChar w:fldCharType="end"/>
            </w:r>
          </w:hyperlink>
        </w:p>
        <w:p w14:paraId="3CDD7B51" w14:textId="77777777" w:rsidR="00F42E53" w:rsidRDefault="002421D4">
          <w:pPr>
            <w:pStyle w:val="TOC1"/>
            <w:tabs>
              <w:tab w:val="right" w:leader="dot" w:pos="10620"/>
            </w:tabs>
          </w:pPr>
          <w:hyperlink w:anchor="_Toc33371">
            <w:r>
              <w:rPr>
                <w:sz w:val="22"/>
              </w:rPr>
              <w:t xml:space="preserve">5.0 </w:t>
            </w:r>
            <w:r>
              <w:t>DATA PROTECTION BY DESIGN OR DEFAULT</w:t>
            </w:r>
            <w:r>
              <w:tab/>
            </w:r>
            <w:r>
              <w:fldChar w:fldCharType="begin"/>
            </w:r>
            <w:r>
              <w:instrText>PAGEREF _Toc33371 \h</w:instrText>
            </w:r>
            <w:r>
              <w:fldChar w:fldCharType="separate"/>
            </w:r>
            <w:r>
              <w:t xml:space="preserve">6 </w:t>
            </w:r>
            <w:r>
              <w:fldChar w:fldCharType="end"/>
            </w:r>
          </w:hyperlink>
        </w:p>
        <w:p w14:paraId="17D0AB98" w14:textId="77777777" w:rsidR="00F42E53" w:rsidRDefault="002421D4">
          <w:pPr>
            <w:pStyle w:val="TOC1"/>
            <w:tabs>
              <w:tab w:val="right" w:leader="dot" w:pos="10620"/>
            </w:tabs>
          </w:pPr>
          <w:hyperlink w:anchor="_Toc33372">
            <w:r>
              <w:rPr>
                <w:sz w:val="22"/>
              </w:rPr>
              <w:t xml:space="preserve">6.0  </w:t>
            </w:r>
            <w:r>
              <w:t>PRIVACY NOTICES (ARTICLE 12)</w:t>
            </w:r>
            <w:r>
              <w:tab/>
            </w:r>
            <w:r>
              <w:fldChar w:fldCharType="begin"/>
            </w:r>
            <w:r>
              <w:instrText>PAGEREF _Toc33372 \h</w:instrText>
            </w:r>
            <w:r>
              <w:fldChar w:fldCharType="separate"/>
            </w:r>
            <w:r>
              <w:t xml:space="preserve">6 </w:t>
            </w:r>
            <w:r>
              <w:fldChar w:fldCharType="end"/>
            </w:r>
          </w:hyperlink>
        </w:p>
        <w:p w14:paraId="3B539F8A" w14:textId="77777777" w:rsidR="00F42E53" w:rsidRDefault="002421D4">
          <w:pPr>
            <w:pStyle w:val="TOC1"/>
            <w:tabs>
              <w:tab w:val="right" w:leader="dot" w:pos="10620"/>
            </w:tabs>
          </w:pPr>
          <w:hyperlink w:anchor="_Toc33373">
            <w:r>
              <w:rPr>
                <w:sz w:val="22"/>
              </w:rPr>
              <w:t xml:space="preserve">7.0  </w:t>
            </w:r>
            <w:r>
              <w:t>SHARING PERSONAL DATA</w:t>
            </w:r>
            <w:r>
              <w:tab/>
            </w:r>
            <w:r>
              <w:fldChar w:fldCharType="begin"/>
            </w:r>
            <w:r>
              <w:instrText>PAGEREF _Toc33373 \h</w:instrText>
            </w:r>
            <w:r>
              <w:fldChar w:fldCharType="separate"/>
            </w:r>
            <w:r>
              <w:t xml:space="preserve">7 </w:t>
            </w:r>
            <w:r>
              <w:fldChar w:fldCharType="end"/>
            </w:r>
          </w:hyperlink>
        </w:p>
        <w:p w14:paraId="121C4940" w14:textId="77777777" w:rsidR="00F42E53" w:rsidRDefault="002421D4">
          <w:pPr>
            <w:pStyle w:val="TOC1"/>
            <w:tabs>
              <w:tab w:val="right" w:leader="dot" w:pos="10620"/>
            </w:tabs>
          </w:pPr>
          <w:hyperlink w:anchor="_Toc33374">
            <w:r>
              <w:rPr>
                <w:sz w:val="22"/>
              </w:rPr>
              <w:t xml:space="preserve">8.0  </w:t>
            </w:r>
            <w:r>
              <w:t>SUBJECT ACCESS REQUESTS</w:t>
            </w:r>
            <w:r>
              <w:tab/>
            </w:r>
            <w:r>
              <w:fldChar w:fldCharType="begin"/>
            </w:r>
            <w:r>
              <w:instrText>PAGEREF _Toc33374 \h</w:instrText>
            </w:r>
            <w:r>
              <w:fldChar w:fldCharType="separate"/>
            </w:r>
            <w:r>
              <w:t xml:space="preserve">9 </w:t>
            </w:r>
            <w:r>
              <w:fldChar w:fldCharType="end"/>
            </w:r>
          </w:hyperlink>
        </w:p>
        <w:p w14:paraId="6232E71A" w14:textId="77777777" w:rsidR="00F42E53" w:rsidRDefault="002421D4">
          <w:pPr>
            <w:pStyle w:val="TOC1"/>
            <w:tabs>
              <w:tab w:val="right" w:leader="dot" w:pos="10620"/>
            </w:tabs>
          </w:pPr>
          <w:hyperlink w:anchor="_Toc33375">
            <w:r>
              <w:rPr>
                <w:sz w:val="22"/>
              </w:rPr>
              <w:t xml:space="preserve">9.0  </w:t>
            </w:r>
            <w:r>
              <w:t>CCTV</w:t>
            </w:r>
            <w:r>
              <w:tab/>
            </w:r>
            <w:r>
              <w:fldChar w:fldCharType="begin"/>
            </w:r>
            <w:r>
              <w:instrText>PAGEREF _Toc33375 \h</w:instrText>
            </w:r>
            <w:r>
              <w:fldChar w:fldCharType="separate"/>
            </w:r>
            <w:r>
              <w:t xml:space="preserve">10 </w:t>
            </w:r>
            <w:r>
              <w:fldChar w:fldCharType="end"/>
            </w:r>
          </w:hyperlink>
        </w:p>
        <w:p w14:paraId="55D8BBE4" w14:textId="77777777" w:rsidR="00F42E53" w:rsidRDefault="002421D4">
          <w:pPr>
            <w:pStyle w:val="TOC1"/>
            <w:tabs>
              <w:tab w:val="right" w:leader="dot" w:pos="10620"/>
            </w:tabs>
          </w:pPr>
          <w:hyperlink w:anchor="_Toc33376">
            <w:r>
              <w:rPr>
                <w:sz w:val="22"/>
              </w:rPr>
              <w:t xml:space="preserve">10.0 </w:t>
            </w:r>
            <w:r>
              <w:t>PHOTOGRAPHS AND VIDEOS</w:t>
            </w:r>
            <w:r>
              <w:tab/>
            </w:r>
            <w:r>
              <w:fldChar w:fldCharType="begin"/>
            </w:r>
            <w:r>
              <w:instrText>PAGEREF _Toc33376 \h</w:instrText>
            </w:r>
            <w:r>
              <w:fldChar w:fldCharType="separate"/>
            </w:r>
            <w:r>
              <w:t xml:space="preserve">10 </w:t>
            </w:r>
            <w:r>
              <w:fldChar w:fldCharType="end"/>
            </w:r>
          </w:hyperlink>
        </w:p>
        <w:p w14:paraId="76AD05CC" w14:textId="77777777" w:rsidR="00F42E53" w:rsidRDefault="002421D4">
          <w:pPr>
            <w:pStyle w:val="TOC1"/>
            <w:tabs>
              <w:tab w:val="right" w:leader="dot" w:pos="10620"/>
            </w:tabs>
          </w:pPr>
          <w:hyperlink w:anchor="_Toc33377">
            <w:r>
              <w:rPr>
                <w:sz w:val="22"/>
              </w:rPr>
              <w:t xml:space="preserve">11.0 </w:t>
            </w:r>
            <w:r>
              <w:t>DATA SECURITY AND STORAGE OF RECORDS</w:t>
            </w:r>
            <w:r>
              <w:tab/>
            </w:r>
            <w:r>
              <w:fldChar w:fldCharType="begin"/>
            </w:r>
            <w:r>
              <w:instrText>PAGEREF _Toc33377 \h</w:instrText>
            </w:r>
            <w:r>
              <w:fldChar w:fldCharType="separate"/>
            </w:r>
            <w:r>
              <w:t xml:space="preserve">10 </w:t>
            </w:r>
            <w:r>
              <w:fldChar w:fldCharType="end"/>
            </w:r>
          </w:hyperlink>
        </w:p>
        <w:p w14:paraId="66C4597E" w14:textId="77777777" w:rsidR="00F42E53" w:rsidRDefault="002421D4">
          <w:pPr>
            <w:pStyle w:val="TOC1"/>
            <w:tabs>
              <w:tab w:val="right" w:leader="dot" w:pos="10620"/>
            </w:tabs>
          </w:pPr>
          <w:hyperlink w:anchor="_Toc33378">
            <w:r>
              <w:rPr>
                <w:sz w:val="22"/>
              </w:rPr>
              <w:t xml:space="preserve">12.0 </w:t>
            </w:r>
            <w:r>
              <w:t>DISPOSAL OF RECORDS</w:t>
            </w:r>
            <w:r>
              <w:tab/>
            </w:r>
            <w:r>
              <w:fldChar w:fldCharType="begin"/>
            </w:r>
            <w:r>
              <w:instrText>PAGEREF _Toc33378 \h</w:instrText>
            </w:r>
            <w:r>
              <w:fldChar w:fldCharType="separate"/>
            </w:r>
            <w:r>
              <w:t xml:space="preserve">11 </w:t>
            </w:r>
            <w:r>
              <w:fldChar w:fldCharType="end"/>
            </w:r>
          </w:hyperlink>
        </w:p>
        <w:p w14:paraId="15AA36AE" w14:textId="77777777" w:rsidR="00F42E53" w:rsidRDefault="002421D4">
          <w:pPr>
            <w:pStyle w:val="TOC1"/>
            <w:tabs>
              <w:tab w:val="right" w:leader="dot" w:pos="10620"/>
            </w:tabs>
          </w:pPr>
          <w:hyperlink w:anchor="_Toc33379">
            <w:r>
              <w:rPr>
                <w:sz w:val="22"/>
              </w:rPr>
              <w:t xml:space="preserve">13.0 </w:t>
            </w:r>
            <w:r>
              <w:t>PERSONAL DATA BREACH</w:t>
            </w:r>
            <w:r>
              <w:tab/>
            </w:r>
            <w:r>
              <w:fldChar w:fldCharType="begin"/>
            </w:r>
            <w:r>
              <w:instrText>PAGEREF _Toc33379 \h</w:instrText>
            </w:r>
            <w:r>
              <w:fldChar w:fldCharType="separate"/>
            </w:r>
            <w:r>
              <w:t xml:space="preserve">11 </w:t>
            </w:r>
            <w:r>
              <w:fldChar w:fldCharType="end"/>
            </w:r>
          </w:hyperlink>
        </w:p>
        <w:p w14:paraId="3E006703" w14:textId="77777777" w:rsidR="00F42E53" w:rsidRDefault="002421D4">
          <w:pPr>
            <w:pStyle w:val="TOC1"/>
            <w:tabs>
              <w:tab w:val="right" w:leader="dot" w:pos="10620"/>
            </w:tabs>
          </w:pPr>
          <w:hyperlink w:anchor="_Toc33380">
            <w:r>
              <w:rPr>
                <w:sz w:val="22"/>
              </w:rPr>
              <w:t xml:space="preserve">14.0 </w:t>
            </w:r>
            <w:r>
              <w:t>TRAINING</w:t>
            </w:r>
            <w:r>
              <w:tab/>
            </w:r>
            <w:r>
              <w:fldChar w:fldCharType="begin"/>
            </w:r>
            <w:r>
              <w:instrText>PAGEREF _Toc33380 \h</w:instrText>
            </w:r>
            <w:r>
              <w:fldChar w:fldCharType="separate"/>
            </w:r>
            <w:r>
              <w:t xml:space="preserve">11 </w:t>
            </w:r>
            <w:r>
              <w:fldChar w:fldCharType="end"/>
            </w:r>
          </w:hyperlink>
        </w:p>
        <w:p w14:paraId="307CA19A" w14:textId="77777777" w:rsidR="00F42E53" w:rsidRDefault="002421D4">
          <w:pPr>
            <w:pStyle w:val="TOC1"/>
            <w:tabs>
              <w:tab w:val="right" w:leader="dot" w:pos="10620"/>
            </w:tabs>
          </w:pPr>
          <w:hyperlink w:anchor="_Toc33381">
            <w:r>
              <w:rPr>
                <w:sz w:val="22"/>
              </w:rPr>
              <w:t xml:space="preserve">15.0 </w:t>
            </w:r>
            <w:r>
              <w:t>COMPLAINTS ABOUT DATA PROCESSING</w:t>
            </w:r>
            <w:r>
              <w:tab/>
            </w:r>
            <w:r>
              <w:fldChar w:fldCharType="begin"/>
            </w:r>
            <w:r>
              <w:instrText>PAGEREF _Toc33381 \h</w:instrText>
            </w:r>
            <w:r>
              <w:fldChar w:fldCharType="separate"/>
            </w:r>
            <w:r>
              <w:t xml:space="preserve">12 </w:t>
            </w:r>
            <w:r>
              <w:fldChar w:fldCharType="end"/>
            </w:r>
          </w:hyperlink>
        </w:p>
        <w:p w14:paraId="38505DAC" w14:textId="77777777" w:rsidR="00F42E53" w:rsidRDefault="002421D4">
          <w:pPr>
            <w:pStyle w:val="TOC1"/>
            <w:tabs>
              <w:tab w:val="right" w:leader="dot" w:pos="10620"/>
            </w:tabs>
          </w:pPr>
          <w:hyperlink w:anchor="_Toc33382">
            <w:r>
              <w:rPr>
                <w:sz w:val="22"/>
              </w:rPr>
              <w:t xml:space="preserve">16.0 </w:t>
            </w:r>
            <w:r>
              <w:t>MONITORING ARRANGEMENTS</w:t>
            </w:r>
            <w:r>
              <w:tab/>
            </w:r>
            <w:r>
              <w:fldChar w:fldCharType="begin"/>
            </w:r>
            <w:r>
              <w:instrText>PAGEREF _Toc33382 \h</w:instrText>
            </w:r>
            <w:r>
              <w:fldChar w:fldCharType="separate"/>
            </w:r>
            <w:r>
              <w:t xml:space="preserve">12 </w:t>
            </w:r>
            <w:r>
              <w:fldChar w:fldCharType="end"/>
            </w:r>
          </w:hyperlink>
        </w:p>
        <w:p w14:paraId="7E266952" w14:textId="77777777" w:rsidR="00F42E53" w:rsidRDefault="002421D4">
          <w:pPr>
            <w:pStyle w:val="TOC1"/>
            <w:tabs>
              <w:tab w:val="right" w:leader="dot" w:pos="10620"/>
            </w:tabs>
          </w:pPr>
          <w:hyperlink w:anchor="_Toc33383">
            <w:r>
              <w:rPr>
                <w:sz w:val="22"/>
              </w:rPr>
              <w:t xml:space="preserve">17.0 </w:t>
            </w:r>
            <w:r>
              <w:t>NATIONAL DATA OPT-OUT</w:t>
            </w:r>
            <w:r>
              <w:tab/>
            </w:r>
            <w:r>
              <w:fldChar w:fldCharType="begin"/>
            </w:r>
            <w:r>
              <w:instrText>PAGEREF _Toc33383 \h</w:instrText>
            </w:r>
            <w:r>
              <w:fldChar w:fldCharType="separate"/>
            </w:r>
            <w:r>
              <w:t xml:space="preserve">12 </w:t>
            </w:r>
            <w:r>
              <w:fldChar w:fldCharType="end"/>
            </w:r>
          </w:hyperlink>
        </w:p>
        <w:p w14:paraId="22A366D4" w14:textId="77777777" w:rsidR="00F42E53" w:rsidRDefault="002421D4">
          <w:r>
            <w:fldChar w:fldCharType="end"/>
          </w:r>
        </w:p>
      </w:sdtContent>
    </w:sdt>
    <w:p w14:paraId="71AC8630" w14:textId="77777777" w:rsidR="00F42E53" w:rsidRDefault="002421D4">
      <w:pPr>
        <w:spacing w:after="381" w:line="259" w:lineRule="auto"/>
        <w:ind w:left="0" w:firstLine="0"/>
        <w:jc w:val="left"/>
      </w:pPr>
      <w:r>
        <w:t xml:space="preserve"> </w:t>
      </w:r>
    </w:p>
    <w:p w14:paraId="02A4E1F7" w14:textId="77777777" w:rsidR="00F42E53" w:rsidRDefault="002421D4">
      <w:pPr>
        <w:pStyle w:val="Heading1"/>
        <w:tabs>
          <w:tab w:val="center" w:pos="1681"/>
        </w:tabs>
        <w:spacing w:after="222"/>
        <w:ind w:left="0" w:right="0" w:firstLine="0"/>
      </w:pPr>
      <w:bookmarkStart w:id="0" w:name="_Toc33367"/>
      <w:r>
        <w:rPr>
          <w:sz w:val="22"/>
        </w:rPr>
        <w:t xml:space="preserve">1.0 </w:t>
      </w:r>
      <w:r>
        <w:rPr>
          <w:sz w:val="22"/>
        </w:rPr>
        <w:tab/>
      </w:r>
      <w:r>
        <w:t xml:space="preserve">INTRODUCTION </w:t>
      </w:r>
      <w:bookmarkEnd w:id="0"/>
    </w:p>
    <w:p w14:paraId="0A7D8465" w14:textId="77777777" w:rsidR="00F42E53" w:rsidRDefault="002421D4">
      <w:pPr>
        <w:spacing w:after="247"/>
      </w:pPr>
      <w:r>
        <w:t xml:space="preserve">This document sets out the Outcomes First Group’s policy for all services relating to privacy and data protection legislation and should be read in conjunction with the </w:t>
      </w:r>
      <w:r>
        <w:rPr>
          <w:i/>
        </w:rPr>
        <w:t>Confidentiality Policy</w:t>
      </w:r>
      <w:r>
        <w:t xml:space="preserve">. </w:t>
      </w:r>
    </w:p>
    <w:p w14:paraId="0C4CCAFF" w14:textId="77777777" w:rsidR="00F42E53" w:rsidRDefault="002421D4">
      <w:pPr>
        <w:ind w:right="97"/>
      </w:pPr>
      <w:r>
        <w:t xml:space="preserve">Our aims are to ensure that all personal data collected about staff, people we support, parents/carers, visitors and other individuals is collected, stored and processed in accordance with the </w:t>
      </w:r>
      <w:hyperlink r:id="rId14">
        <w:r>
          <w:rPr>
            <w:color w:val="0000FF"/>
            <w:u w:val="single" w:color="0000FF"/>
          </w:rPr>
          <w:t>General Data Protection</w:t>
        </w:r>
      </w:hyperlink>
      <w:hyperlink r:id="rId15">
        <w:r>
          <w:rPr>
            <w:color w:val="0000FF"/>
          </w:rPr>
          <w:t xml:space="preserve"> </w:t>
        </w:r>
      </w:hyperlink>
      <w:hyperlink r:id="rId16">
        <w:r>
          <w:rPr>
            <w:color w:val="0000FF"/>
            <w:u w:val="single" w:color="0000FF"/>
          </w:rPr>
          <w:t>Regulation (UK GDPR)</w:t>
        </w:r>
      </w:hyperlink>
      <w:hyperlink r:id="rId17">
        <w:r>
          <w:rPr>
            <w:color w:val="0000FF"/>
          </w:rPr>
          <w:t xml:space="preserve"> </w:t>
        </w:r>
      </w:hyperlink>
      <w:r>
        <w:t xml:space="preserve">and the provisions of the Data Protection Act 2018 (DPA 2018). </w:t>
      </w:r>
    </w:p>
    <w:p w14:paraId="79145ADC" w14:textId="77777777" w:rsidR="00F42E53" w:rsidRDefault="002421D4">
      <w:pPr>
        <w:spacing w:after="0" w:line="259" w:lineRule="auto"/>
        <w:ind w:left="0" w:firstLine="0"/>
        <w:jc w:val="left"/>
      </w:pPr>
      <w:r>
        <w:t xml:space="preserve"> </w:t>
      </w:r>
    </w:p>
    <w:p w14:paraId="1CEEB0C0" w14:textId="77777777" w:rsidR="00F42E53" w:rsidRDefault="002421D4">
      <w:pPr>
        <w:ind w:right="601"/>
      </w:pPr>
      <w:r>
        <w:t xml:space="preserve">Data protection principles outline that personal data must be: </w:t>
      </w:r>
    </w:p>
    <w:p w14:paraId="0BFF67E1" w14:textId="77777777" w:rsidR="00F42E53" w:rsidRDefault="002421D4">
      <w:pPr>
        <w:numPr>
          <w:ilvl w:val="0"/>
          <w:numId w:val="1"/>
        </w:numPr>
        <w:ind w:right="601" w:hanging="360"/>
      </w:pPr>
      <w:r>
        <w:t xml:space="preserve">Processed lawfully and fairly </w:t>
      </w:r>
    </w:p>
    <w:p w14:paraId="6040EA12" w14:textId="77777777" w:rsidR="00F42E53" w:rsidRDefault="002421D4">
      <w:pPr>
        <w:numPr>
          <w:ilvl w:val="0"/>
          <w:numId w:val="1"/>
        </w:numPr>
        <w:ind w:right="601" w:hanging="360"/>
      </w:pPr>
      <w:r>
        <w:t xml:space="preserve">The purpose of processing must be specified, explicit and legitimate </w:t>
      </w:r>
    </w:p>
    <w:p w14:paraId="35608B62" w14:textId="77777777" w:rsidR="00F42E53" w:rsidRDefault="002421D4">
      <w:pPr>
        <w:numPr>
          <w:ilvl w:val="0"/>
          <w:numId w:val="1"/>
        </w:numPr>
        <w:ind w:right="601" w:hanging="360"/>
      </w:pPr>
      <w:r>
        <w:t xml:space="preserve">Adequate, relevant and not excessive </w:t>
      </w:r>
    </w:p>
    <w:p w14:paraId="53CFF615" w14:textId="77777777" w:rsidR="00F42E53" w:rsidRDefault="002421D4">
      <w:pPr>
        <w:numPr>
          <w:ilvl w:val="0"/>
          <w:numId w:val="1"/>
        </w:numPr>
        <w:ind w:right="601" w:hanging="360"/>
      </w:pPr>
      <w:r>
        <w:t xml:space="preserve">Accurate and kept up to date </w:t>
      </w:r>
    </w:p>
    <w:p w14:paraId="6C206868" w14:textId="77777777" w:rsidR="00F42E53" w:rsidRDefault="002421D4">
      <w:pPr>
        <w:numPr>
          <w:ilvl w:val="0"/>
          <w:numId w:val="1"/>
        </w:numPr>
        <w:ind w:right="601" w:hanging="360"/>
      </w:pPr>
      <w:r>
        <w:t xml:space="preserve">Kept for no longer than is necessary </w:t>
      </w:r>
    </w:p>
    <w:p w14:paraId="32524363" w14:textId="77777777" w:rsidR="00F42E53" w:rsidRDefault="002421D4">
      <w:pPr>
        <w:numPr>
          <w:ilvl w:val="0"/>
          <w:numId w:val="1"/>
        </w:numPr>
        <w:ind w:right="601" w:hanging="360"/>
      </w:pPr>
      <w:r>
        <w:t xml:space="preserve">Processed in a secure manner </w:t>
      </w:r>
    </w:p>
    <w:p w14:paraId="18EFEC22" w14:textId="77777777" w:rsidR="00F42E53" w:rsidRDefault="002421D4">
      <w:pPr>
        <w:spacing w:after="0" w:line="259" w:lineRule="auto"/>
        <w:ind w:left="0" w:firstLine="0"/>
        <w:jc w:val="left"/>
      </w:pPr>
      <w:r>
        <w:t xml:space="preserve"> </w:t>
      </w:r>
    </w:p>
    <w:p w14:paraId="47428C8C" w14:textId="77777777" w:rsidR="00F42E53" w:rsidRDefault="002421D4">
      <w:r>
        <w:t xml:space="preserve">This policy states how the company will meet these standards and applies to all personal data, regardless of whether it is in paper or electronic format. </w:t>
      </w:r>
    </w:p>
    <w:p w14:paraId="5F16B98A" w14:textId="77777777" w:rsidR="00F42E53" w:rsidRDefault="002421D4">
      <w:pPr>
        <w:spacing w:after="0" w:line="259" w:lineRule="auto"/>
        <w:ind w:left="0" w:firstLine="0"/>
        <w:jc w:val="left"/>
      </w:pPr>
      <w:r>
        <w:lastRenderedPageBreak/>
        <w:t xml:space="preserve"> </w:t>
      </w:r>
    </w:p>
    <w:p w14:paraId="05D8C571" w14:textId="77777777" w:rsidR="00F42E53" w:rsidRDefault="002421D4">
      <w:r>
        <w:rPr>
          <w:b/>
        </w:rPr>
        <w:t xml:space="preserve">Implementation: </w:t>
      </w:r>
      <w:r>
        <w:t xml:space="preserve">It is the responsibility of all line managers to ensure that all staff are aware of and understand this policy and any subsequent revisions </w:t>
      </w:r>
    </w:p>
    <w:p w14:paraId="681B3F83" w14:textId="77777777" w:rsidR="00F42E53" w:rsidRDefault="002421D4">
      <w:pPr>
        <w:spacing w:after="0" w:line="259" w:lineRule="auto"/>
        <w:ind w:left="53" w:firstLine="0"/>
        <w:jc w:val="left"/>
      </w:pPr>
      <w:r>
        <w:rPr>
          <w:sz w:val="22"/>
        </w:rPr>
        <w:t xml:space="preserve"> </w:t>
      </w:r>
    </w:p>
    <w:p w14:paraId="78607F05" w14:textId="77777777" w:rsidR="00F42E53" w:rsidRDefault="002421D4">
      <w:pPr>
        <w:spacing w:after="0" w:line="259" w:lineRule="auto"/>
        <w:ind w:left="53" w:firstLine="0"/>
        <w:jc w:val="left"/>
      </w:pPr>
      <w:r>
        <w:rPr>
          <w:sz w:val="22"/>
        </w:rPr>
        <w:t xml:space="preserve"> </w:t>
      </w:r>
    </w:p>
    <w:p w14:paraId="28F5DB61" w14:textId="77777777" w:rsidR="00F42E53" w:rsidRDefault="002421D4">
      <w:pPr>
        <w:pStyle w:val="Heading1"/>
        <w:tabs>
          <w:tab w:val="center" w:pos="1615"/>
        </w:tabs>
        <w:spacing w:after="0" w:line="259" w:lineRule="auto"/>
        <w:ind w:left="0" w:right="0" w:firstLine="0"/>
      </w:pPr>
      <w:bookmarkStart w:id="1" w:name="_Toc33368"/>
      <w:r>
        <w:t xml:space="preserve">2.0 </w:t>
      </w:r>
      <w:r>
        <w:tab/>
      </w:r>
      <w:r>
        <w:rPr>
          <w:sz w:val="22"/>
        </w:rPr>
        <w:t>DEFINITIONS</w:t>
      </w:r>
      <w:r>
        <w:t xml:space="preserve"> </w:t>
      </w:r>
      <w:bookmarkEnd w:id="1"/>
    </w:p>
    <w:p w14:paraId="7AEDD5C0" w14:textId="77777777" w:rsidR="00F42E53" w:rsidRDefault="002421D4">
      <w:pPr>
        <w:spacing w:after="197" w:line="259" w:lineRule="auto"/>
        <w:ind w:left="0" w:firstLine="0"/>
        <w:jc w:val="left"/>
      </w:pPr>
      <w:r>
        <w:rPr>
          <w:b/>
        </w:rPr>
        <w:t xml:space="preserve"> </w:t>
      </w:r>
    </w:p>
    <w:p w14:paraId="112E2BD3" w14:textId="77777777" w:rsidR="00F42E53" w:rsidRDefault="002421D4">
      <w:pPr>
        <w:spacing w:after="0" w:line="259" w:lineRule="auto"/>
        <w:ind w:left="0" w:firstLine="0"/>
        <w:jc w:val="left"/>
      </w:pPr>
      <w:r>
        <w:rPr>
          <w:b/>
        </w:rPr>
        <w:t xml:space="preserve"> </w:t>
      </w:r>
    </w:p>
    <w:p w14:paraId="335407E8" w14:textId="77777777" w:rsidR="00F42E53" w:rsidRDefault="002421D4">
      <w:pPr>
        <w:tabs>
          <w:tab w:val="center" w:pos="1025"/>
          <w:tab w:val="center" w:pos="3843"/>
        </w:tabs>
        <w:spacing w:after="0" w:line="259" w:lineRule="auto"/>
        <w:ind w:left="0" w:firstLine="0"/>
        <w:jc w:val="left"/>
      </w:pPr>
      <w:r>
        <w:rPr>
          <w:rFonts w:ascii="Calibri" w:eastAsia="Calibri" w:hAnsi="Calibri" w:cs="Calibri"/>
          <w:sz w:val="22"/>
        </w:rPr>
        <w:tab/>
      </w:r>
      <w:r>
        <w:rPr>
          <w:b/>
          <w:color w:val="04936C"/>
        </w:rPr>
        <w:t>TERM</w:t>
      </w:r>
      <w:r>
        <w:rPr>
          <w:b/>
        </w:rPr>
        <w:t xml:space="preserve"> </w:t>
      </w:r>
      <w:r>
        <w:rPr>
          <w:b/>
        </w:rPr>
        <w:tab/>
      </w:r>
      <w:r>
        <w:rPr>
          <w:b/>
        </w:rPr>
        <w:t xml:space="preserve">DEFINITION </w:t>
      </w:r>
    </w:p>
    <w:tbl>
      <w:tblPr>
        <w:tblStyle w:val="TableGrid"/>
        <w:tblW w:w="9727" w:type="dxa"/>
        <w:tblInd w:w="584" w:type="dxa"/>
        <w:tblCellMar>
          <w:top w:w="0" w:type="dxa"/>
          <w:left w:w="113" w:type="dxa"/>
          <w:bottom w:w="0" w:type="dxa"/>
          <w:right w:w="224" w:type="dxa"/>
        </w:tblCellMar>
        <w:tblLook w:val="04A0" w:firstRow="1" w:lastRow="0" w:firstColumn="1" w:lastColumn="0" w:noHBand="0" w:noVBand="1"/>
      </w:tblPr>
      <w:tblGrid>
        <w:gridCol w:w="2593"/>
        <w:gridCol w:w="7134"/>
      </w:tblGrid>
      <w:tr w:rsidR="00F42E53" w14:paraId="3F0D1ACB" w14:textId="77777777">
        <w:trPr>
          <w:trHeight w:val="2876"/>
        </w:trPr>
        <w:tc>
          <w:tcPr>
            <w:tcW w:w="2593" w:type="dxa"/>
            <w:tcBorders>
              <w:top w:val="single" w:sz="12" w:space="0" w:color="C7C7C7"/>
              <w:left w:val="nil"/>
              <w:bottom w:val="single" w:sz="2" w:space="0" w:color="C7C7C7"/>
              <w:right w:val="single" w:sz="2" w:space="0" w:color="C7C7C7"/>
            </w:tcBorders>
          </w:tcPr>
          <w:p w14:paraId="39C02959" w14:textId="77777777" w:rsidR="00F42E53" w:rsidRDefault="002421D4">
            <w:pPr>
              <w:spacing w:after="0" w:line="259" w:lineRule="auto"/>
              <w:ind w:left="53" w:firstLine="0"/>
              <w:jc w:val="left"/>
            </w:pPr>
            <w:r>
              <w:rPr>
                <w:b/>
                <w:color w:val="04936C"/>
              </w:rPr>
              <w:t>Personal Data</w:t>
            </w:r>
            <w:r>
              <w:rPr>
                <w:b/>
              </w:rPr>
              <w:t xml:space="preserve"> </w:t>
            </w:r>
          </w:p>
        </w:tc>
        <w:tc>
          <w:tcPr>
            <w:tcW w:w="7134" w:type="dxa"/>
            <w:tcBorders>
              <w:top w:val="single" w:sz="12" w:space="0" w:color="C7C7C7"/>
              <w:left w:val="single" w:sz="2" w:space="0" w:color="C7C7C7"/>
              <w:bottom w:val="single" w:sz="2" w:space="0" w:color="C7C7C7"/>
              <w:right w:val="nil"/>
            </w:tcBorders>
          </w:tcPr>
          <w:p w14:paraId="1BFEFB8C" w14:textId="77777777" w:rsidR="00F42E53" w:rsidRDefault="002421D4">
            <w:pPr>
              <w:spacing w:after="0" w:line="253" w:lineRule="auto"/>
              <w:ind w:left="115" w:right="2389" w:firstLine="0"/>
            </w:pPr>
            <w:r>
              <w:t xml:space="preserve">This has the meaning given to it by the UK GDPR and means any information relating to an identifiable, living person. This may include the individual’s: </w:t>
            </w:r>
          </w:p>
          <w:p w14:paraId="2004F6E3" w14:textId="77777777" w:rsidR="00F42E53" w:rsidRDefault="002421D4">
            <w:pPr>
              <w:numPr>
                <w:ilvl w:val="0"/>
                <w:numId w:val="17"/>
              </w:numPr>
              <w:spacing w:after="0" w:line="259" w:lineRule="auto"/>
              <w:ind w:hanging="355"/>
              <w:jc w:val="left"/>
            </w:pPr>
            <w:r>
              <w:t xml:space="preserve">Name (including initials) </w:t>
            </w:r>
          </w:p>
          <w:p w14:paraId="798031D0" w14:textId="77777777" w:rsidR="00F42E53" w:rsidRDefault="002421D4">
            <w:pPr>
              <w:numPr>
                <w:ilvl w:val="0"/>
                <w:numId w:val="17"/>
              </w:numPr>
              <w:spacing w:after="0" w:line="259" w:lineRule="auto"/>
              <w:ind w:hanging="355"/>
              <w:jc w:val="left"/>
            </w:pPr>
            <w:r>
              <w:t xml:space="preserve">Identification number </w:t>
            </w:r>
          </w:p>
          <w:p w14:paraId="4603E01D" w14:textId="77777777" w:rsidR="00F42E53" w:rsidRDefault="002421D4">
            <w:pPr>
              <w:numPr>
                <w:ilvl w:val="0"/>
                <w:numId w:val="17"/>
              </w:numPr>
              <w:spacing w:after="0" w:line="259" w:lineRule="auto"/>
              <w:ind w:hanging="355"/>
              <w:jc w:val="left"/>
            </w:pPr>
            <w:r>
              <w:t xml:space="preserve">Location data </w:t>
            </w:r>
          </w:p>
          <w:p w14:paraId="1DB99393" w14:textId="77777777" w:rsidR="00F42E53" w:rsidRDefault="002421D4">
            <w:pPr>
              <w:numPr>
                <w:ilvl w:val="0"/>
                <w:numId w:val="17"/>
              </w:numPr>
              <w:spacing w:after="0" w:line="259" w:lineRule="auto"/>
              <w:ind w:hanging="355"/>
              <w:jc w:val="left"/>
            </w:pPr>
            <w:r>
              <w:t xml:space="preserve">Online identifier, such as a username </w:t>
            </w:r>
          </w:p>
          <w:p w14:paraId="735F3C7A" w14:textId="77777777" w:rsidR="00F42E53" w:rsidRDefault="002421D4">
            <w:pPr>
              <w:numPr>
                <w:ilvl w:val="0"/>
                <w:numId w:val="17"/>
              </w:numPr>
              <w:spacing w:after="0" w:line="259" w:lineRule="auto"/>
              <w:ind w:hanging="355"/>
              <w:jc w:val="left"/>
            </w:pPr>
            <w:r>
              <w:t xml:space="preserve">Photograph </w:t>
            </w:r>
          </w:p>
          <w:p w14:paraId="279FF880" w14:textId="77777777" w:rsidR="00F42E53" w:rsidRDefault="002421D4">
            <w:pPr>
              <w:spacing w:after="0" w:line="259" w:lineRule="auto"/>
              <w:ind w:left="0" w:firstLine="0"/>
            </w:pPr>
            <w:r>
              <w:t xml:space="preserve">It may also include factors specific to the individual’s physical, physiological, genetic, mental, economic, cultural or social identity. </w:t>
            </w:r>
          </w:p>
        </w:tc>
      </w:tr>
      <w:tr w:rsidR="00F42E53" w14:paraId="763F903C" w14:textId="77777777">
        <w:trPr>
          <w:trHeight w:val="2520"/>
        </w:trPr>
        <w:tc>
          <w:tcPr>
            <w:tcW w:w="2593" w:type="dxa"/>
            <w:tcBorders>
              <w:top w:val="single" w:sz="2" w:space="0" w:color="C7C7C7"/>
              <w:left w:val="nil"/>
              <w:bottom w:val="single" w:sz="2" w:space="0" w:color="C7C7C7"/>
              <w:right w:val="single" w:sz="2" w:space="0" w:color="C7C7C7"/>
            </w:tcBorders>
          </w:tcPr>
          <w:p w14:paraId="74C9C4D8" w14:textId="77777777" w:rsidR="00F42E53" w:rsidRDefault="002421D4">
            <w:pPr>
              <w:spacing w:after="0" w:line="259" w:lineRule="auto"/>
              <w:ind w:left="53" w:firstLine="0"/>
              <w:jc w:val="left"/>
            </w:pPr>
            <w:r>
              <w:rPr>
                <w:b/>
                <w:color w:val="04936C"/>
              </w:rPr>
              <w:t>Special Categories of Data</w:t>
            </w:r>
            <w:r>
              <w:rPr>
                <w:b/>
              </w:rPr>
              <w:t xml:space="preserve"> </w:t>
            </w:r>
          </w:p>
        </w:tc>
        <w:tc>
          <w:tcPr>
            <w:tcW w:w="7134" w:type="dxa"/>
            <w:tcBorders>
              <w:top w:val="single" w:sz="2" w:space="0" w:color="C7C7C7"/>
              <w:left w:val="single" w:sz="2" w:space="0" w:color="C7C7C7"/>
              <w:bottom w:val="single" w:sz="2" w:space="0" w:color="C7C7C7"/>
              <w:right w:val="nil"/>
            </w:tcBorders>
          </w:tcPr>
          <w:p w14:paraId="7B919045" w14:textId="77777777" w:rsidR="00F42E53" w:rsidRDefault="002421D4">
            <w:pPr>
              <w:spacing w:line="244" w:lineRule="auto"/>
              <w:ind w:left="115" w:firstLine="0"/>
            </w:pPr>
            <w:r>
              <w:t xml:space="preserve">Personal data which is more sensitive and so </w:t>
            </w:r>
            <w:r>
              <w:t xml:space="preserve">needs more protection, including information about an individual’s: </w:t>
            </w:r>
          </w:p>
          <w:p w14:paraId="1A58A65F" w14:textId="77777777" w:rsidR="00F42E53" w:rsidRDefault="002421D4">
            <w:pPr>
              <w:numPr>
                <w:ilvl w:val="0"/>
                <w:numId w:val="18"/>
              </w:numPr>
              <w:spacing w:after="0" w:line="259" w:lineRule="auto"/>
              <w:ind w:hanging="360"/>
              <w:jc w:val="left"/>
            </w:pPr>
            <w:r>
              <w:t xml:space="preserve">Racial or ethnic origin </w:t>
            </w:r>
          </w:p>
          <w:p w14:paraId="55F3555D" w14:textId="77777777" w:rsidR="00F42E53" w:rsidRDefault="002421D4">
            <w:pPr>
              <w:numPr>
                <w:ilvl w:val="0"/>
                <w:numId w:val="18"/>
              </w:numPr>
              <w:spacing w:after="0" w:line="259" w:lineRule="auto"/>
              <w:ind w:hanging="360"/>
              <w:jc w:val="left"/>
            </w:pPr>
            <w:r>
              <w:t xml:space="preserve">Political opinions </w:t>
            </w:r>
          </w:p>
          <w:p w14:paraId="731EBC3B" w14:textId="77777777" w:rsidR="00F42E53" w:rsidRDefault="002421D4">
            <w:pPr>
              <w:numPr>
                <w:ilvl w:val="0"/>
                <w:numId w:val="18"/>
              </w:numPr>
              <w:spacing w:after="0" w:line="259" w:lineRule="auto"/>
              <w:ind w:hanging="360"/>
              <w:jc w:val="left"/>
            </w:pPr>
            <w:r>
              <w:t xml:space="preserve">Religious or philosophical beliefs </w:t>
            </w:r>
          </w:p>
          <w:p w14:paraId="7D280F67" w14:textId="77777777" w:rsidR="00F42E53" w:rsidRDefault="002421D4">
            <w:pPr>
              <w:numPr>
                <w:ilvl w:val="0"/>
                <w:numId w:val="18"/>
              </w:numPr>
              <w:spacing w:after="0" w:line="259" w:lineRule="auto"/>
              <w:ind w:hanging="360"/>
              <w:jc w:val="left"/>
            </w:pPr>
            <w:r>
              <w:t xml:space="preserve">Trade union membership </w:t>
            </w:r>
          </w:p>
          <w:p w14:paraId="04E3D8E2" w14:textId="77777777" w:rsidR="00F42E53" w:rsidRDefault="002421D4">
            <w:pPr>
              <w:numPr>
                <w:ilvl w:val="0"/>
                <w:numId w:val="18"/>
              </w:numPr>
              <w:spacing w:after="0" w:line="259" w:lineRule="auto"/>
              <w:ind w:hanging="360"/>
              <w:jc w:val="left"/>
            </w:pPr>
            <w:r>
              <w:t xml:space="preserve">Genetics </w:t>
            </w:r>
          </w:p>
          <w:p w14:paraId="34041052" w14:textId="77777777" w:rsidR="00F42E53" w:rsidRDefault="002421D4">
            <w:pPr>
              <w:numPr>
                <w:ilvl w:val="0"/>
                <w:numId w:val="18"/>
              </w:numPr>
              <w:spacing w:after="0" w:line="259" w:lineRule="auto"/>
              <w:ind w:hanging="360"/>
              <w:jc w:val="left"/>
            </w:pPr>
            <w:r>
              <w:t xml:space="preserve">Health – physical or mental </w:t>
            </w:r>
          </w:p>
          <w:p w14:paraId="1AF2F8CD" w14:textId="77777777" w:rsidR="00F42E53" w:rsidRDefault="002421D4">
            <w:pPr>
              <w:spacing w:after="0" w:line="259" w:lineRule="auto"/>
              <w:ind w:left="828" w:firstLine="0"/>
              <w:jc w:val="left"/>
            </w:pPr>
            <w:r>
              <w:t xml:space="preserve">Sex life or sexual orientation </w:t>
            </w:r>
          </w:p>
        </w:tc>
      </w:tr>
      <w:tr w:rsidR="00F42E53" w14:paraId="06B2C86C" w14:textId="77777777">
        <w:trPr>
          <w:trHeight w:val="1260"/>
        </w:trPr>
        <w:tc>
          <w:tcPr>
            <w:tcW w:w="2593" w:type="dxa"/>
            <w:tcBorders>
              <w:top w:val="single" w:sz="2" w:space="0" w:color="C7C7C7"/>
              <w:left w:val="nil"/>
              <w:bottom w:val="single" w:sz="2" w:space="0" w:color="C7C7C7"/>
              <w:right w:val="single" w:sz="2" w:space="0" w:color="C7C7C7"/>
            </w:tcBorders>
          </w:tcPr>
          <w:p w14:paraId="7F8D3DBC" w14:textId="77777777" w:rsidR="00F42E53" w:rsidRDefault="002421D4">
            <w:pPr>
              <w:spacing w:after="0" w:line="259" w:lineRule="auto"/>
              <w:ind w:left="53" w:firstLine="0"/>
              <w:jc w:val="left"/>
            </w:pPr>
            <w:r>
              <w:rPr>
                <w:b/>
                <w:color w:val="04936C"/>
              </w:rPr>
              <w:t>Processing</w:t>
            </w:r>
            <w:r>
              <w:rPr>
                <w:b/>
              </w:rPr>
              <w:t xml:space="preserve"> </w:t>
            </w:r>
          </w:p>
        </w:tc>
        <w:tc>
          <w:tcPr>
            <w:tcW w:w="7134" w:type="dxa"/>
            <w:tcBorders>
              <w:top w:val="single" w:sz="2" w:space="0" w:color="C7C7C7"/>
              <w:left w:val="single" w:sz="2" w:space="0" w:color="C7C7C7"/>
              <w:bottom w:val="single" w:sz="2" w:space="0" w:color="C7C7C7"/>
              <w:right w:val="nil"/>
            </w:tcBorders>
          </w:tcPr>
          <w:p w14:paraId="688663E2" w14:textId="77777777" w:rsidR="00F42E53" w:rsidRDefault="002421D4">
            <w:pPr>
              <w:spacing w:after="0" w:line="259" w:lineRule="auto"/>
              <w:ind w:left="0" w:right="52" w:firstLine="0"/>
            </w:pPr>
            <w:r>
              <w:t xml:space="preserve">Anything done to personal data, such as collecting, recording, organising, structuring, storing, viewing, adapting, altering, retrieving, using, disseminating, erasing or destroying. Processing can be automated or manual. </w:t>
            </w:r>
          </w:p>
        </w:tc>
      </w:tr>
      <w:tr w:rsidR="00F42E53" w14:paraId="6E54733F" w14:textId="77777777">
        <w:trPr>
          <w:trHeight w:val="979"/>
        </w:trPr>
        <w:tc>
          <w:tcPr>
            <w:tcW w:w="2593" w:type="dxa"/>
            <w:tcBorders>
              <w:top w:val="single" w:sz="2" w:space="0" w:color="C7C7C7"/>
              <w:left w:val="nil"/>
              <w:bottom w:val="single" w:sz="2" w:space="0" w:color="C7C7C7"/>
              <w:right w:val="single" w:sz="2" w:space="0" w:color="C7C7C7"/>
            </w:tcBorders>
          </w:tcPr>
          <w:p w14:paraId="13BF7941" w14:textId="77777777" w:rsidR="00F42E53" w:rsidRDefault="002421D4">
            <w:pPr>
              <w:spacing w:after="0" w:line="259" w:lineRule="auto"/>
              <w:ind w:left="53" w:firstLine="0"/>
              <w:jc w:val="left"/>
            </w:pPr>
            <w:r>
              <w:rPr>
                <w:b/>
                <w:color w:val="04936C"/>
              </w:rPr>
              <w:t>Data Subject</w:t>
            </w:r>
            <w:r>
              <w:rPr>
                <w:b/>
              </w:rPr>
              <w:t xml:space="preserve"> </w:t>
            </w:r>
          </w:p>
        </w:tc>
        <w:tc>
          <w:tcPr>
            <w:tcW w:w="7134" w:type="dxa"/>
            <w:tcBorders>
              <w:top w:val="single" w:sz="2" w:space="0" w:color="C7C7C7"/>
              <w:left w:val="single" w:sz="2" w:space="0" w:color="C7C7C7"/>
              <w:bottom w:val="single" w:sz="2" w:space="0" w:color="C7C7C7"/>
              <w:right w:val="nil"/>
            </w:tcBorders>
          </w:tcPr>
          <w:p w14:paraId="339B77EC" w14:textId="77777777" w:rsidR="00F42E53" w:rsidRDefault="002421D4">
            <w:pPr>
              <w:spacing w:after="0" w:line="259" w:lineRule="auto"/>
              <w:ind w:left="0" w:firstLine="0"/>
              <w:jc w:val="left"/>
            </w:pPr>
            <w:r>
              <w:t xml:space="preserve">The </w:t>
            </w:r>
            <w:r>
              <w:t xml:space="preserve">identified or identifiable individual whose personal data is held or processed. </w:t>
            </w:r>
          </w:p>
        </w:tc>
      </w:tr>
      <w:tr w:rsidR="00F42E53" w14:paraId="6831022A" w14:textId="77777777">
        <w:trPr>
          <w:trHeight w:val="1009"/>
        </w:trPr>
        <w:tc>
          <w:tcPr>
            <w:tcW w:w="2593" w:type="dxa"/>
            <w:tcBorders>
              <w:top w:val="single" w:sz="2" w:space="0" w:color="C7C7C7"/>
              <w:left w:val="nil"/>
              <w:bottom w:val="single" w:sz="2" w:space="0" w:color="C7C7C7"/>
              <w:right w:val="single" w:sz="2" w:space="0" w:color="C7C7C7"/>
            </w:tcBorders>
          </w:tcPr>
          <w:p w14:paraId="38D621E9" w14:textId="77777777" w:rsidR="00F42E53" w:rsidRDefault="002421D4">
            <w:pPr>
              <w:spacing w:after="0" w:line="259" w:lineRule="auto"/>
              <w:ind w:left="53" w:firstLine="0"/>
              <w:jc w:val="left"/>
            </w:pPr>
            <w:r>
              <w:rPr>
                <w:b/>
                <w:color w:val="04936C"/>
              </w:rPr>
              <w:t>Data Protection Officer</w:t>
            </w:r>
            <w:r>
              <w:rPr>
                <w:b/>
              </w:rPr>
              <w:t xml:space="preserve"> </w:t>
            </w:r>
          </w:p>
        </w:tc>
        <w:tc>
          <w:tcPr>
            <w:tcW w:w="7134" w:type="dxa"/>
            <w:tcBorders>
              <w:top w:val="single" w:sz="2" w:space="0" w:color="C7C7C7"/>
              <w:left w:val="single" w:sz="2" w:space="0" w:color="C7C7C7"/>
              <w:bottom w:val="single" w:sz="2" w:space="0" w:color="C7C7C7"/>
              <w:right w:val="nil"/>
            </w:tcBorders>
          </w:tcPr>
          <w:p w14:paraId="09DFC263" w14:textId="77777777" w:rsidR="00F42E53" w:rsidRDefault="002421D4">
            <w:pPr>
              <w:spacing w:after="0" w:line="259" w:lineRule="auto"/>
              <w:ind w:left="0" w:firstLine="0"/>
            </w:pPr>
            <w:r>
              <w:t xml:space="preserve">A person or organisation that determines the purposes and the means of processing of personal data. </w:t>
            </w:r>
          </w:p>
        </w:tc>
      </w:tr>
      <w:tr w:rsidR="00F42E53" w14:paraId="13E4415D" w14:textId="77777777">
        <w:trPr>
          <w:trHeight w:val="811"/>
        </w:trPr>
        <w:tc>
          <w:tcPr>
            <w:tcW w:w="2593" w:type="dxa"/>
            <w:tcBorders>
              <w:top w:val="single" w:sz="2" w:space="0" w:color="C7C7C7"/>
              <w:left w:val="nil"/>
              <w:bottom w:val="single" w:sz="2" w:space="0" w:color="C7C7C7"/>
              <w:right w:val="single" w:sz="2" w:space="0" w:color="C7C7C7"/>
            </w:tcBorders>
          </w:tcPr>
          <w:p w14:paraId="3B2CF9EC" w14:textId="77777777" w:rsidR="00F42E53" w:rsidRDefault="002421D4">
            <w:pPr>
              <w:spacing w:after="0" w:line="259" w:lineRule="auto"/>
              <w:ind w:left="53" w:firstLine="0"/>
              <w:jc w:val="left"/>
            </w:pPr>
            <w:r>
              <w:rPr>
                <w:b/>
                <w:color w:val="04936C"/>
              </w:rPr>
              <w:t>Data Controller</w:t>
            </w:r>
            <w:r>
              <w:rPr>
                <w:b/>
              </w:rPr>
              <w:t xml:space="preserve"> </w:t>
            </w:r>
          </w:p>
        </w:tc>
        <w:tc>
          <w:tcPr>
            <w:tcW w:w="7134" w:type="dxa"/>
            <w:tcBorders>
              <w:top w:val="single" w:sz="2" w:space="0" w:color="C7C7C7"/>
              <w:left w:val="single" w:sz="2" w:space="0" w:color="C7C7C7"/>
              <w:bottom w:val="single" w:sz="2" w:space="0" w:color="C7C7C7"/>
              <w:right w:val="nil"/>
            </w:tcBorders>
          </w:tcPr>
          <w:p w14:paraId="477CA575" w14:textId="77777777" w:rsidR="00F42E53" w:rsidRDefault="002421D4">
            <w:pPr>
              <w:spacing w:after="0" w:line="259" w:lineRule="auto"/>
              <w:ind w:left="0" w:firstLine="0"/>
            </w:pPr>
            <w:r>
              <w:t xml:space="preserve">A person or </w:t>
            </w:r>
            <w:r>
              <w:t xml:space="preserve">organisation who (either alone or jointly with another) determines the purposes and manner in which any personal data is processed. </w:t>
            </w:r>
          </w:p>
        </w:tc>
      </w:tr>
      <w:tr w:rsidR="00F42E53" w14:paraId="54BC6BA7" w14:textId="77777777">
        <w:trPr>
          <w:trHeight w:val="823"/>
        </w:trPr>
        <w:tc>
          <w:tcPr>
            <w:tcW w:w="2593" w:type="dxa"/>
            <w:tcBorders>
              <w:top w:val="single" w:sz="2" w:space="0" w:color="C7C7C7"/>
              <w:left w:val="nil"/>
              <w:bottom w:val="single" w:sz="2" w:space="0" w:color="C7C7C7"/>
              <w:right w:val="single" w:sz="2" w:space="0" w:color="C7C7C7"/>
            </w:tcBorders>
          </w:tcPr>
          <w:p w14:paraId="36AC47AE" w14:textId="77777777" w:rsidR="00F42E53" w:rsidRDefault="002421D4">
            <w:pPr>
              <w:spacing w:after="0" w:line="259" w:lineRule="auto"/>
              <w:ind w:left="53" w:firstLine="0"/>
              <w:jc w:val="left"/>
            </w:pPr>
            <w:r>
              <w:rPr>
                <w:b/>
                <w:color w:val="04936C"/>
              </w:rPr>
              <w:lastRenderedPageBreak/>
              <w:t>Data Processor</w:t>
            </w:r>
            <w:r>
              <w:rPr>
                <w:b/>
              </w:rPr>
              <w:t xml:space="preserve"> </w:t>
            </w:r>
          </w:p>
        </w:tc>
        <w:tc>
          <w:tcPr>
            <w:tcW w:w="7134" w:type="dxa"/>
            <w:tcBorders>
              <w:top w:val="single" w:sz="2" w:space="0" w:color="C7C7C7"/>
              <w:left w:val="single" w:sz="2" w:space="0" w:color="C7C7C7"/>
              <w:bottom w:val="single" w:sz="2" w:space="0" w:color="C7C7C7"/>
              <w:right w:val="nil"/>
            </w:tcBorders>
          </w:tcPr>
          <w:p w14:paraId="0A46AF36" w14:textId="77777777" w:rsidR="00F42E53" w:rsidRDefault="002421D4">
            <w:pPr>
              <w:spacing w:after="0" w:line="259" w:lineRule="auto"/>
              <w:ind w:left="0" w:firstLine="0"/>
              <w:jc w:val="left"/>
            </w:pPr>
            <w:r>
              <w:t xml:space="preserve">A person or organisation who processes personal data on behalf of the data controller. </w:t>
            </w:r>
          </w:p>
        </w:tc>
      </w:tr>
      <w:tr w:rsidR="00F42E53" w14:paraId="2A1A86C5" w14:textId="77777777">
        <w:trPr>
          <w:trHeight w:val="907"/>
        </w:trPr>
        <w:tc>
          <w:tcPr>
            <w:tcW w:w="2593" w:type="dxa"/>
            <w:tcBorders>
              <w:top w:val="single" w:sz="2" w:space="0" w:color="C7C7C7"/>
              <w:left w:val="nil"/>
              <w:bottom w:val="single" w:sz="2" w:space="0" w:color="C7C7C7"/>
              <w:right w:val="single" w:sz="2" w:space="0" w:color="C7C7C7"/>
            </w:tcBorders>
          </w:tcPr>
          <w:p w14:paraId="5B7AD8FB" w14:textId="77777777" w:rsidR="00F42E53" w:rsidRDefault="002421D4">
            <w:pPr>
              <w:spacing w:after="0" w:line="259" w:lineRule="auto"/>
              <w:ind w:left="53" w:firstLine="0"/>
              <w:jc w:val="left"/>
            </w:pPr>
            <w:r>
              <w:rPr>
                <w:b/>
                <w:color w:val="04936C"/>
              </w:rPr>
              <w:t xml:space="preserve">Personal Data </w:t>
            </w:r>
            <w:r>
              <w:rPr>
                <w:b/>
                <w:color w:val="04936C"/>
              </w:rPr>
              <w:t>Breach</w:t>
            </w:r>
            <w:r>
              <w:rPr>
                <w:b/>
              </w:rPr>
              <w:t xml:space="preserve"> </w:t>
            </w:r>
          </w:p>
        </w:tc>
        <w:tc>
          <w:tcPr>
            <w:tcW w:w="7134" w:type="dxa"/>
            <w:tcBorders>
              <w:top w:val="single" w:sz="2" w:space="0" w:color="C7C7C7"/>
              <w:left w:val="single" w:sz="2" w:space="0" w:color="C7C7C7"/>
              <w:bottom w:val="single" w:sz="2" w:space="0" w:color="C7C7C7"/>
              <w:right w:val="nil"/>
            </w:tcBorders>
          </w:tcPr>
          <w:p w14:paraId="12E303EE" w14:textId="77777777" w:rsidR="00F42E53" w:rsidRDefault="002421D4">
            <w:pPr>
              <w:spacing w:after="0" w:line="259" w:lineRule="auto"/>
              <w:ind w:left="0" w:firstLine="0"/>
            </w:pPr>
            <w:r>
              <w:t xml:space="preserve">A breach of security leading to the accidental or unlawful destruction, loss, alteration, unauthorised disclosure of, or access to personal data. </w:t>
            </w:r>
          </w:p>
        </w:tc>
      </w:tr>
    </w:tbl>
    <w:p w14:paraId="56B10E14" w14:textId="77777777" w:rsidR="00F42E53" w:rsidRDefault="002421D4">
      <w:pPr>
        <w:spacing w:after="0" w:line="259" w:lineRule="auto"/>
        <w:ind w:left="101" w:firstLine="0"/>
        <w:jc w:val="left"/>
      </w:pPr>
      <w:r>
        <w:rPr>
          <w:rFonts w:ascii="Calibri" w:eastAsia="Calibri" w:hAnsi="Calibri" w:cs="Calibri"/>
        </w:rPr>
        <w:t xml:space="preserve"> </w:t>
      </w:r>
    </w:p>
    <w:p w14:paraId="6175FF4A" w14:textId="77777777" w:rsidR="00F42E53" w:rsidRDefault="002421D4">
      <w:pPr>
        <w:ind w:left="111" w:right="601"/>
      </w:pPr>
      <w:r>
        <w:t xml:space="preserve">. </w:t>
      </w:r>
    </w:p>
    <w:p w14:paraId="06CF948D" w14:textId="77777777" w:rsidR="00F42E53" w:rsidRDefault="002421D4">
      <w:pPr>
        <w:pStyle w:val="Heading1"/>
        <w:tabs>
          <w:tab w:val="center" w:pos="2452"/>
        </w:tabs>
        <w:ind w:left="0" w:right="0" w:firstLine="0"/>
      </w:pPr>
      <w:bookmarkStart w:id="2" w:name="_Toc33369"/>
      <w:r>
        <w:t xml:space="preserve">3.0 </w:t>
      </w:r>
      <w:r>
        <w:tab/>
        <w:t xml:space="preserve">ROLES AND RESPONSIBILITIES </w:t>
      </w:r>
      <w:bookmarkEnd w:id="2"/>
    </w:p>
    <w:p w14:paraId="64829074" w14:textId="77777777" w:rsidR="00F42E53" w:rsidRDefault="002421D4">
      <w:pPr>
        <w:spacing w:after="0" w:line="259" w:lineRule="auto"/>
        <w:ind w:left="0" w:firstLine="0"/>
        <w:jc w:val="left"/>
      </w:pPr>
      <w:r>
        <w:rPr>
          <w:b/>
        </w:rPr>
        <w:t xml:space="preserve"> </w:t>
      </w:r>
    </w:p>
    <w:p w14:paraId="7FECAAEC" w14:textId="77777777" w:rsidR="00F42E53" w:rsidRDefault="002421D4">
      <w:pPr>
        <w:spacing w:after="112"/>
        <w:ind w:right="733"/>
      </w:pPr>
      <w:r>
        <w:t xml:space="preserve">Our services are required to manage personal data relating to children, service users, pupils, staff, governors, visitors and other. Therefore, Outcomes First Group acts as a Data Controller in terms of the records we control as well as, in some instances, a Data Processor where the information is controlled by another person/organisation, e.g. paperwork managed by local authorities, healthcare professionals or other agency, and we process the information on their instructions. </w:t>
      </w:r>
    </w:p>
    <w:p w14:paraId="35661872" w14:textId="77777777" w:rsidR="00F42E53" w:rsidRDefault="002421D4">
      <w:pPr>
        <w:ind w:right="601"/>
      </w:pPr>
      <w:r>
        <w:t xml:space="preserve">The organisation and its subsidiaries, which process personal data, are registered as a Data Controller with the ICO and will renew this registration annually or as otherwise legally required. </w:t>
      </w:r>
    </w:p>
    <w:p w14:paraId="28C498DE" w14:textId="77777777" w:rsidR="00F42E53" w:rsidRDefault="002421D4">
      <w:pPr>
        <w:spacing w:after="0" w:line="259" w:lineRule="auto"/>
        <w:ind w:left="0" w:firstLine="0"/>
        <w:jc w:val="left"/>
      </w:pPr>
      <w:r>
        <w:t xml:space="preserve"> </w:t>
      </w:r>
    </w:p>
    <w:p w14:paraId="1929531E" w14:textId="77777777" w:rsidR="00F42E53" w:rsidRDefault="002421D4">
      <w:pPr>
        <w:pStyle w:val="Heading2"/>
        <w:ind w:left="62" w:right="0"/>
      </w:pPr>
      <w:r>
        <w:t xml:space="preserve">Data Protection Officer (DPO) </w:t>
      </w:r>
    </w:p>
    <w:p w14:paraId="616670E6" w14:textId="77777777" w:rsidR="00F42E53" w:rsidRDefault="002421D4">
      <w:pPr>
        <w:spacing w:after="0" w:line="259" w:lineRule="auto"/>
        <w:ind w:left="0" w:firstLine="0"/>
        <w:jc w:val="left"/>
      </w:pPr>
      <w:r>
        <w:rPr>
          <w:b/>
        </w:rPr>
        <w:t xml:space="preserve"> </w:t>
      </w:r>
    </w:p>
    <w:p w14:paraId="320620F1" w14:textId="77777777" w:rsidR="00F42E53" w:rsidRDefault="002421D4">
      <w:pPr>
        <w:ind w:right="676"/>
      </w:pPr>
      <w:r>
        <w:t>The Data Protection Officer, supported by the Data Protection Team, is Kevin McBride (</w:t>
      </w:r>
      <w:r>
        <w:rPr>
          <w:color w:val="0460C1"/>
          <w:u w:val="single" w:color="0460C1"/>
        </w:rPr>
        <w:t>data.protection@ofgl.co.uk</w:t>
      </w:r>
      <w:r>
        <w:t xml:space="preserve">) who responsible for advising on all elements of this policy, monitoring our compliance with Data Protection Law, and developing related policies and guidelines. </w:t>
      </w:r>
    </w:p>
    <w:p w14:paraId="302A7AEB" w14:textId="77777777" w:rsidR="00F42E53" w:rsidRDefault="002421D4">
      <w:pPr>
        <w:spacing w:after="0" w:line="259" w:lineRule="auto"/>
        <w:ind w:left="0" w:firstLine="0"/>
        <w:jc w:val="left"/>
      </w:pPr>
      <w:r>
        <w:t xml:space="preserve"> </w:t>
      </w:r>
    </w:p>
    <w:p w14:paraId="68BA5A24" w14:textId="77777777" w:rsidR="00F42E53" w:rsidRDefault="002421D4">
      <w:pPr>
        <w:ind w:right="669"/>
      </w:pPr>
      <w:r>
        <w:t xml:space="preserve">The DPO also provides the Group with advice and guidance on any responses that it needs to make to subject access requests from individuals (data subjects) and acts as the escalation point for individuals whose data each service processes, and for the Information Commissioners Office (‘ICO’). </w:t>
      </w:r>
    </w:p>
    <w:p w14:paraId="50210FF0" w14:textId="77777777" w:rsidR="00F42E53" w:rsidRDefault="002421D4">
      <w:pPr>
        <w:spacing w:after="0" w:line="259" w:lineRule="auto"/>
        <w:ind w:left="0" w:firstLine="0"/>
        <w:jc w:val="left"/>
      </w:pPr>
      <w:r>
        <w:t xml:space="preserve"> </w:t>
      </w:r>
    </w:p>
    <w:p w14:paraId="1F6D4381" w14:textId="77777777" w:rsidR="00F42E53" w:rsidRDefault="002421D4">
      <w:pPr>
        <w:ind w:right="601"/>
      </w:pPr>
      <w:r>
        <w:t xml:space="preserve">Any reportable breach of data protection regulations, which is notifiable under UK GDPR legislation, is reported to the ICO by the Data Protection Team. </w:t>
      </w:r>
    </w:p>
    <w:p w14:paraId="3DC3731F" w14:textId="77777777" w:rsidR="00F42E53" w:rsidRDefault="002421D4">
      <w:pPr>
        <w:spacing w:after="0" w:line="259" w:lineRule="auto"/>
        <w:ind w:left="0" w:firstLine="0"/>
        <w:jc w:val="left"/>
      </w:pPr>
      <w:r>
        <w:t xml:space="preserve"> </w:t>
      </w:r>
    </w:p>
    <w:p w14:paraId="0E243C23" w14:textId="77777777" w:rsidR="00F42E53" w:rsidRDefault="002421D4">
      <w:pPr>
        <w:pStyle w:val="Heading2"/>
        <w:ind w:left="62" w:right="0"/>
      </w:pPr>
      <w:r>
        <w:t xml:space="preserve">Board of Directors </w:t>
      </w:r>
    </w:p>
    <w:p w14:paraId="1F23D652" w14:textId="77777777" w:rsidR="00F42E53" w:rsidRDefault="002421D4">
      <w:pPr>
        <w:spacing w:after="0" w:line="259" w:lineRule="auto"/>
        <w:ind w:left="0" w:firstLine="0"/>
        <w:jc w:val="left"/>
      </w:pPr>
      <w:r>
        <w:rPr>
          <w:b/>
        </w:rPr>
        <w:t xml:space="preserve"> </w:t>
      </w:r>
    </w:p>
    <w:p w14:paraId="3CE1C5D5" w14:textId="77777777" w:rsidR="00F42E53" w:rsidRDefault="002421D4">
      <w:pPr>
        <w:ind w:right="601"/>
      </w:pPr>
      <w:r>
        <w:t xml:space="preserve">The Board of Directors has overall responsibility for ensuring </w:t>
      </w:r>
      <w:r>
        <w:t xml:space="preserve">that our services comply with all relevant data protection obligations. </w:t>
      </w:r>
    </w:p>
    <w:p w14:paraId="3C6F3F24" w14:textId="77777777" w:rsidR="00F42E53" w:rsidRDefault="002421D4">
      <w:pPr>
        <w:spacing w:after="0" w:line="259" w:lineRule="auto"/>
        <w:ind w:left="0" w:firstLine="0"/>
        <w:jc w:val="left"/>
      </w:pPr>
      <w:r>
        <w:t xml:space="preserve"> </w:t>
      </w:r>
    </w:p>
    <w:p w14:paraId="12D61BDA" w14:textId="77777777" w:rsidR="00F42E53" w:rsidRDefault="002421D4">
      <w:pPr>
        <w:pStyle w:val="Heading2"/>
        <w:ind w:left="62" w:right="0"/>
      </w:pPr>
      <w:r>
        <w:t xml:space="preserve">Responsible Individuals / Registered Managers / Headteachers </w:t>
      </w:r>
    </w:p>
    <w:p w14:paraId="3AF73085" w14:textId="77777777" w:rsidR="00F42E53" w:rsidRDefault="002421D4">
      <w:pPr>
        <w:spacing w:after="0" w:line="259" w:lineRule="auto"/>
        <w:ind w:left="0" w:firstLine="0"/>
        <w:jc w:val="left"/>
      </w:pPr>
      <w:r>
        <w:rPr>
          <w:b/>
        </w:rPr>
        <w:t xml:space="preserve"> </w:t>
      </w:r>
    </w:p>
    <w:p w14:paraId="380D2C3E" w14:textId="77777777" w:rsidR="00F42E53" w:rsidRDefault="002421D4">
      <w:pPr>
        <w:ind w:right="673"/>
      </w:pPr>
      <w:r>
        <w:t xml:space="preserve">All senior managers are responsible for the implementation of this policy locally. They must also </w:t>
      </w:r>
      <w:r>
        <w:t xml:space="preserve">ensure that staff are aware of the need to report any breaches without delay </w:t>
      </w:r>
      <w:r>
        <w:rPr>
          <w:i/>
        </w:rPr>
        <w:t xml:space="preserve">(see </w:t>
      </w:r>
      <w:r>
        <w:rPr>
          <w:i/>
          <w:color w:val="04926C"/>
        </w:rPr>
        <w:t>Data Breach Procedure</w:t>
      </w:r>
      <w:r>
        <w:rPr>
          <w:i/>
        </w:rPr>
        <w:t xml:space="preserve">) </w:t>
      </w:r>
      <w:r>
        <w:t xml:space="preserve">and respond correctly to data subject access requests </w:t>
      </w:r>
      <w:r>
        <w:rPr>
          <w:i/>
        </w:rPr>
        <w:t xml:space="preserve">(see </w:t>
      </w:r>
      <w:r>
        <w:rPr>
          <w:i/>
          <w:color w:val="04926C"/>
        </w:rPr>
        <w:t>Data Subject Access Request Procedure</w:t>
      </w:r>
      <w:r>
        <w:rPr>
          <w:i/>
        </w:rPr>
        <w:t xml:space="preserve">). </w:t>
      </w:r>
    </w:p>
    <w:p w14:paraId="6C671CC3" w14:textId="77777777" w:rsidR="00F42E53" w:rsidRDefault="002421D4">
      <w:pPr>
        <w:spacing w:after="0" w:line="259" w:lineRule="auto"/>
        <w:ind w:left="0" w:firstLine="0"/>
        <w:jc w:val="left"/>
      </w:pPr>
      <w:r>
        <w:rPr>
          <w:i/>
        </w:rPr>
        <w:t xml:space="preserve"> </w:t>
      </w:r>
    </w:p>
    <w:p w14:paraId="4AC767AA" w14:textId="77777777" w:rsidR="00F42E53" w:rsidRDefault="002421D4">
      <w:pPr>
        <w:spacing w:after="4" w:line="268" w:lineRule="auto"/>
        <w:ind w:left="62" w:hanging="10"/>
        <w:jc w:val="left"/>
      </w:pPr>
      <w:r>
        <w:rPr>
          <w:b/>
        </w:rPr>
        <w:t xml:space="preserve">All staff are responsible for: </w:t>
      </w:r>
    </w:p>
    <w:p w14:paraId="5EE0C44A" w14:textId="77777777" w:rsidR="00F42E53" w:rsidRDefault="002421D4">
      <w:pPr>
        <w:spacing w:after="34" w:line="259" w:lineRule="auto"/>
        <w:ind w:left="0" w:firstLine="0"/>
        <w:jc w:val="left"/>
      </w:pPr>
      <w:r>
        <w:rPr>
          <w:b/>
        </w:rPr>
        <w:t xml:space="preserve"> </w:t>
      </w:r>
    </w:p>
    <w:p w14:paraId="6FD73B6C" w14:textId="77777777" w:rsidR="00F42E53" w:rsidRDefault="002421D4">
      <w:pPr>
        <w:numPr>
          <w:ilvl w:val="0"/>
          <w:numId w:val="2"/>
        </w:numPr>
        <w:ind w:left="760" w:right="601" w:hanging="360"/>
      </w:pPr>
      <w:r>
        <w:t xml:space="preserve">Processing any personal data in accordance with this Policy; </w:t>
      </w:r>
    </w:p>
    <w:p w14:paraId="2F0F97B2" w14:textId="77777777" w:rsidR="00F42E53" w:rsidRDefault="002421D4">
      <w:pPr>
        <w:spacing w:after="36" w:line="259" w:lineRule="auto"/>
        <w:ind w:left="0" w:firstLine="0"/>
        <w:jc w:val="left"/>
      </w:pPr>
      <w:r>
        <w:t xml:space="preserve"> </w:t>
      </w:r>
    </w:p>
    <w:p w14:paraId="043B4C14" w14:textId="77777777" w:rsidR="00F42E53" w:rsidRDefault="002421D4">
      <w:pPr>
        <w:numPr>
          <w:ilvl w:val="0"/>
          <w:numId w:val="2"/>
        </w:numPr>
        <w:ind w:left="760" w:right="601" w:hanging="360"/>
      </w:pPr>
      <w:r>
        <w:t xml:space="preserve">Informing the service of any changes to their personal data, such as a change of address; </w:t>
      </w:r>
    </w:p>
    <w:p w14:paraId="71E24885" w14:textId="77777777" w:rsidR="00F42E53" w:rsidRDefault="002421D4">
      <w:pPr>
        <w:spacing w:after="37" w:line="259" w:lineRule="auto"/>
        <w:ind w:left="0" w:firstLine="0"/>
        <w:jc w:val="left"/>
      </w:pPr>
      <w:r>
        <w:t xml:space="preserve"> </w:t>
      </w:r>
    </w:p>
    <w:p w14:paraId="11050B6F" w14:textId="77777777" w:rsidR="00F42E53" w:rsidRDefault="002421D4">
      <w:pPr>
        <w:numPr>
          <w:ilvl w:val="0"/>
          <w:numId w:val="2"/>
        </w:numPr>
        <w:spacing w:after="186"/>
        <w:ind w:left="760" w:right="601" w:hanging="360"/>
      </w:pPr>
      <w:r>
        <w:t xml:space="preserve">Contacting the Data Protection Team in the following circumstances </w:t>
      </w:r>
    </w:p>
    <w:p w14:paraId="09945135" w14:textId="77777777" w:rsidR="00F42E53" w:rsidRDefault="002421D4">
      <w:pPr>
        <w:numPr>
          <w:ilvl w:val="0"/>
          <w:numId w:val="3"/>
        </w:numPr>
        <w:ind w:left="750" w:right="601" w:hanging="584"/>
      </w:pPr>
      <w:r>
        <w:lastRenderedPageBreak/>
        <w:t xml:space="preserve">With any questions about the </w:t>
      </w:r>
      <w:r>
        <w:t xml:space="preserve">operation of this Policy, Data Protection Law, retaining personal data or keeping personal data secure. </w:t>
      </w:r>
    </w:p>
    <w:p w14:paraId="19FC145B" w14:textId="77777777" w:rsidR="00F42E53" w:rsidRDefault="002421D4">
      <w:pPr>
        <w:numPr>
          <w:ilvl w:val="0"/>
          <w:numId w:val="3"/>
        </w:numPr>
        <w:ind w:left="750" w:right="601" w:hanging="584"/>
      </w:pPr>
      <w:r>
        <w:t xml:space="preserve">If they have any concerns that this policy is not being followed. </w:t>
      </w:r>
    </w:p>
    <w:p w14:paraId="76A5A013" w14:textId="77777777" w:rsidR="00F42E53" w:rsidRDefault="002421D4">
      <w:pPr>
        <w:numPr>
          <w:ilvl w:val="0"/>
          <w:numId w:val="3"/>
        </w:numPr>
        <w:ind w:left="750" w:right="601" w:hanging="584"/>
      </w:pPr>
      <w:r>
        <w:t xml:space="preserve">If they are unsure whether or not they have a lawful basis to use personal data in a particular way. </w:t>
      </w:r>
    </w:p>
    <w:p w14:paraId="4AFB01DF" w14:textId="77777777" w:rsidR="00F42E53" w:rsidRDefault="002421D4">
      <w:pPr>
        <w:numPr>
          <w:ilvl w:val="0"/>
          <w:numId w:val="3"/>
        </w:numPr>
        <w:ind w:left="750" w:right="601" w:hanging="584"/>
      </w:pPr>
      <w:r>
        <w:t xml:space="preserve">If they need to rely on or capture consent, draft a privacy notice, deal with data protection rights invoked by an individual, or transfer personal data outside of the United Kingdom. V. If there has been a data breach. </w:t>
      </w:r>
    </w:p>
    <w:p w14:paraId="1A83A35A" w14:textId="77777777" w:rsidR="00F42E53" w:rsidRDefault="002421D4">
      <w:pPr>
        <w:ind w:left="60" w:right="1404" w:firstLine="55"/>
      </w:pPr>
      <w:r>
        <w:t xml:space="preserve">VI. Whenever they are engaging in a new activity that may affect the privacy rights of individuals. VII. If they need help with any contracts or sharing personal data with third parties. </w:t>
      </w:r>
    </w:p>
    <w:p w14:paraId="471E7748" w14:textId="77777777" w:rsidR="00F42E53" w:rsidRDefault="002421D4">
      <w:pPr>
        <w:spacing w:after="17" w:line="259" w:lineRule="auto"/>
        <w:ind w:left="0" w:firstLine="0"/>
        <w:jc w:val="left"/>
      </w:pPr>
      <w:r>
        <w:t xml:space="preserve"> </w:t>
      </w:r>
    </w:p>
    <w:p w14:paraId="76D2D8D9" w14:textId="77777777" w:rsidR="00F42E53" w:rsidRDefault="002421D4">
      <w:pPr>
        <w:spacing w:after="0" w:line="259" w:lineRule="auto"/>
        <w:ind w:left="0" w:firstLine="0"/>
        <w:jc w:val="left"/>
      </w:pPr>
      <w:r>
        <w:t xml:space="preserve"> </w:t>
      </w:r>
    </w:p>
    <w:p w14:paraId="11D5F8EB" w14:textId="77777777" w:rsidR="00F42E53" w:rsidRDefault="002421D4">
      <w:pPr>
        <w:pStyle w:val="Heading1"/>
        <w:tabs>
          <w:tab w:val="center" w:pos="2908"/>
        </w:tabs>
        <w:ind w:left="0" w:right="0" w:firstLine="0"/>
      </w:pPr>
      <w:bookmarkStart w:id="3" w:name="_Toc33370"/>
      <w:r>
        <w:rPr>
          <w:sz w:val="22"/>
        </w:rPr>
        <w:t xml:space="preserve">4.0 </w:t>
      </w:r>
      <w:r>
        <w:rPr>
          <w:sz w:val="22"/>
        </w:rPr>
        <w:tab/>
      </w:r>
      <w:r>
        <w:t xml:space="preserve">COLLECTING PERSONAL DATA &amp; CONSENT </w:t>
      </w:r>
      <w:bookmarkEnd w:id="3"/>
    </w:p>
    <w:p w14:paraId="58BAFB0E" w14:textId="77777777" w:rsidR="00F42E53" w:rsidRDefault="002421D4">
      <w:pPr>
        <w:spacing w:after="0" w:line="259" w:lineRule="auto"/>
        <w:ind w:left="0" w:firstLine="0"/>
        <w:jc w:val="left"/>
      </w:pPr>
      <w:r>
        <w:rPr>
          <w:b/>
        </w:rPr>
        <w:t xml:space="preserve"> </w:t>
      </w:r>
    </w:p>
    <w:p w14:paraId="183E1DF5" w14:textId="77777777" w:rsidR="00F42E53" w:rsidRDefault="002421D4">
      <w:pPr>
        <w:pStyle w:val="Heading2"/>
        <w:ind w:left="62" w:right="0"/>
      </w:pPr>
      <w:r>
        <w:t xml:space="preserve">Lawfulness, Fairness and Transparency </w:t>
      </w:r>
    </w:p>
    <w:p w14:paraId="220FF9A0" w14:textId="77777777" w:rsidR="00F42E53" w:rsidRDefault="002421D4">
      <w:pPr>
        <w:spacing w:after="0" w:line="259" w:lineRule="auto"/>
        <w:ind w:left="0" w:firstLine="0"/>
        <w:jc w:val="left"/>
      </w:pPr>
      <w:r>
        <w:rPr>
          <w:b/>
        </w:rPr>
        <w:t xml:space="preserve"> </w:t>
      </w:r>
    </w:p>
    <w:p w14:paraId="59E83CC0" w14:textId="77777777" w:rsidR="00F42E53" w:rsidRDefault="002421D4">
      <w:pPr>
        <w:ind w:right="601"/>
      </w:pPr>
      <w:r>
        <w:t xml:space="preserve">We will only process personal data where we have one of 6 ‘lawful bases’ (legal reasons) to do so under Data Protection Law. The 6 lawful bases are as follows: </w:t>
      </w:r>
    </w:p>
    <w:p w14:paraId="3D6F727C" w14:textId="77777777" w:rsidR="00F42E53" w:rsidRDefault="002421D4">
      <w:pPr>
        <w:spacing w:after="24" w:line="259" w:lineRule="auto"/>
        <w:ind w:left="0" w:firstLine="0"/>
        <w:jc w:val="left"/>
      </w:pPr>
      <w:r>
        <w:t xml:space="preserve"> </w:t>
      </w:r>
    </w:p>
    <w:p w14:paraId="7787C5A0" w14:textId="77777777" w:rsidR="00F42E53" w:rsidRDefault="002421D4">
      <w:pPr>
        <w:numPr>
          <w:ilvl w:val="0"/>
          <w:numId w:val="4"/>
        </w:numPr>
        <w:spacing w:after="144" w:line="251" w:lineRule="auto"/>
        <w:ind w:right="1096" w:hanging="358"/>
      </w:pPr>
      <w:r>
        <w:rPr>
          <w:b/>
        </w:rPr>
        <w:t xml:space="preserve">Consent: </w:t>
      </w:r>
      <w:r>
        <w:t xml:space="preserve">The individual has given clear consent for us to process their personal data </w:t>
      </w:r>
      <w:r>
        <w:t xml:space="preserve">for a specific purpose (or their parent/carer, when appropriate in the case of a child aged 12 years or under). </w:t>
      </w:r>
    </w:p>
    <w:p w14:paraId="2EB58F60" w14:textId="77777777" w:rsidR="00F42E53" w:rsidRDefault="002421D4">
      <w:pPr>
        <w:numPr>
          <w:ilvl w:val="0"/>
          <w:numId w:val="4"/>
        </w:numPr>
        <w:spacing w:after="147"/>
        <w:ind w:right="1096" w:hanging="358"/>
      </w:pPr>
      <w:r>
        <w:rPr>
          <w:b/>
        </w:rPr>
        <w:t xml:space="preserve">Contract: </w:t>
      </w:r>
      <w:r>
        <w:t xml:space="preserve">The processing is necessary for a contract we have with the individual, or because they have asked us to take specific steps before entering into a contract. </w:t>
      </w:r>
    </w:p>
    <w:p w14:paraId="064A2048" w14:textId="77777777" w:rsidR="00F42E53" w:rsidRDefault="002421D4">
      <w:pPr>
        <w:numPr>
          <w:ilvl w:val="0"/>
          <w:numId w:val="4"/>
        </w:numPr>
        <w:spacing w:after="150"/>
        <w:ind w:right="1096" w:hanging="358"/>
      </w:pPr>
      <w:r>
        <w:rPr>
          <w:b/>
        </w:rPr>
        <w:t xml:space="preserve">Legal Obligation: </w:t>
      </w:r>
      <w:r>
        <w:t xml:space="preserve">The processing is necessary for us to comply with the Law (not including contractual obligations). </w:t>
      </w:r>
    </w:p>
    <w:p w14:paraId="64C52BCB" w14:textId="77777777" w:rsidR="00F42E53" w:rsidRDefault="002421D4">
      <w:pPr>
        <w:numPr>
          <w:ilvl w:val="0"/>
          <w:numId w:val="4"/>
        </w:numPr>
        <w:spacing w:after="128"/>
        <w:ind w:right="1096" w:hanging="358"/>
      </w:pPr>
      <w:r>
        <w:rPr>
          <w:b/>
        </w:rPr>
        <w:t xml:space="preserve">Vital Interests: </w:t>
      </w:r>
      <w:r>
        <w:t xml:space="preserve">The processing is necessary to protect someone’s life. </w:t>
      </w:r>
    </w:p>
    <w:p w14:paraId="7B2DE914" w14:textId="77777777" w:rsidR="00F42E53" w:rsidRDefault="002421D4">
      <w:pPr>
        <w:numPr>
          <w:ilvl w:val="0"/>
          <w:numId w:val="4"/>
        </w:numPr>
        <w:spacing w:after="150"/>
        <w:ind w:right="1096" w:hanging="358"/>
      </w:pPr>
      <w:r>
        <w:rPr>
          <w:b/>
        </w:rPr>
        <w:t xml:space="preserve">Public Task: </w:t>
      </w:r>
      <w:r>
        <w:t xml:space="preserve">The processing is necessary for us to perform a task in the public interest or for our official functions and the task or function has a clear basis in Law. </w:t>
      </w:r>
    </w:p>
    <w:p w14:paraId="2B539868" w14:textId="77777777" w:rsidR="00F42E53" w:rsidRDefault="002421D4">
      <w:pPr>
        <w:numPr>
          <w:ilvl w:val="0"/>
          <w:numId w:val="4"/>
        </w:numPr>
        <w:ind w:right="1096" w:hanging="358"/>
      </w:pPr>
      <w:r>
        <w:rPr>
          <w:b/>
        </w:rPr>
        <w:t xml:space="preserve">Legitimate Interests: </w:t>
      </w:r>
      <w:r>
        <w:t xml:space="preserve">The processing is necessary for our legitimate interests, or the legitimate interests of a third party, unless there is a good reason to protect the individual’s personal data which overrides those legitimate interests. </w:t>
      </w:r>
    </w:p>
    <w:p w14:paraId="410A963D" w14:textId="77777777" w:rsidR="00F42E53" w:rsidRDefault="002421D4">
      <w:pPr>
        <w:spacing w:after="0" w:line="259" w:lineRule="auto"/>
        <w:ind w:left="0" w:firstLine="0"/>
        <w:jc w:val="left"/>
      </w:pPr>
      <w:r>
        <w:t xml:space="preserve"> </w:t>
      </w:r>
    </w:p>
    <w:p w14:paraId="4E326E70" w14:textId="77777777" w:rsidR="00F42E53" w:rsidRDefault="002421D4">
      <w:pPr>
        <w:ind w:right="601"/>
      </w:pPr>
      <w:r>
        <w:t xml:space="preserve">No single basis is ’better’ or more important than the others; the basis that is most appropriate to use will depend on the purpose and relationship with the individual. </w:t>
      </w:r>
    </w:p>
    <w:p w14:paraId="7FC39514" w14:textId="77777777" w:rsidR="00F42E53" w:rsidRDefault="002421D4">
      <w:pPr>
        <w:spacing w:after="0" w:line="259" w:lineRule="auto"/>
        <w:ind w:left="0" w:firstLine="0"/>
        <w:jc w:val="left"/>
      </w:pPr>
      <w:r>
        <w:t xml:space="preserve"> </w:t>
      </w:r>
    </w:p>
    <w:p w14:paraId="0D3B0AAB" w14:textId="77777777" w:rsidR="00F42E53" w:rsidRDefault="002421D4">
      <w:pPr>
        <w:ind w:right="601"/>
      </w:pPr>
      <w:hyperlink r:id="rId18">
        <w:r>
          <w:rPr>
            <w:color w:val="0561C1"/>
            <w:u w:val="single" w:color="0561C1"/>
          </w:rPr>
          <w:t>Special</w:t>
        </w:r>
      </w:hyperlink>
      <w:hyperlink r:id="rId19">
        <w:r>
          <w:rPr>
            <w:color w:val="0561C1"/>
            <w:u w:val="single" w:color="0561C1"/>
          </w:rPr>
          <w:t xml:space="preserve"> </w:t>
        </w:r>
      </w:hyperlink>
      <w:hyperlink r:id="rId20">
        <w:r>
          <w:rPr>
            <w:color w:val="0561C1"/>
            <w:u w:val="single" w:color="0561C1"/>
          </w:rPr>
          <w:t>Category</w:t>
        </w:r>
      </w:hyperlink>
      <w:hyperlink r:id="rId21">
        <w:r>
          <w:rPr>
            <w:color w:val="0561C1"/>
            <w:u w:val="single" w:color="0561C1"/>
          </w:rPr>
          <w:t xml:space="preserve"> </w:t>
        </w:r>
      </w:hyperlink>
      <w:hyperlink r:id="rId22">
        <w:r>
          <w:rPr>
            <w:color w:val="0561C1"/>
            <w:u w:val="single" w:color="0561C1"/>
          </w:rPr>
          <w:t>Data</w:t>
        </w:r>
      </w:hyperlink>
      <w:hyperlink r:id="rId23">
        <w:r>
          <w:rPr>
            <w:color w:val="0561C1"/>
          </w:rPr>
          <w:t xml:space="preserve"> </w:t>
        </w:r>
      </w:hyperlink>
      <w:r>
        <w:t xml:space="preserve">is personal information that needs more protection due to its sensitivity. In order to lawfully process Special Categories of Data, we must identify both a lawful basis under Article </w:t>
      </w:r>
    </w:p>
    <w:p w14:paraId="2D14F2E7" w14:textId="77777777" w:rsidR="00F42E53" w:rsidRDefault="002421D4">
      <w:pPr>
        <w:spacing w:after="247"/>
        <w:ind w:left="58" w:right="601"/>
      </w:pPr>
      <w:r>
        <w:t xml:space="preserve">6 of the UK GDPR and a separate condition for processing under Article 9. These do not have to be linked. There are 10 conditions for processing special category data in Article 9 of the UK GDPR. Five of these require us to meet additional conditions and safeguards set out in UK law, in Schedule 1 of the DPA 2018. </w:t>
      </w:r>
    </w:p>
    <w:p w14:paraId="17B744EA" w14:textId="77777777" w:rsidR="00F42E53" w:rsidRDefault="002421D4">
      <w:pPr>
        <w:spacing w:after="98"/>
        <w:ind w:right="736"/>
      </w:pPr>
      <w:r>
        <w:t xml:space="preserve">Where we offer online services to children or service users, such as Makaton or other communication aids, we intend to rely on consent as a basis for processing, unless the individual does not have capacity to consent. In these cases, the service will comply with the legal requirements outlined in the Mental Capacity Act 2005 and any associated Codes of Practice issued under it. </w:t>
      </w:r>
    </w:p>
    <w:p w14:paraId="6CDB72F0" w14:textId="77777777" w:rsidR="00F42E53" w:rsidRDefault="002421D4">
      <w:pPr>
        <w:spacing w:after="0" w:line="259" w:lineRule="auto"/>
        <w:ind w:left="0" w:firstLine="0"/>
        <w:jc w:val="left"/>
      </w:pPr>
      <w:r>
        <w:t xml:space="preserve"> </w:t>
      </w:r>
    </w:p>
    <w:p w14:paraId="39D5484A" w14:textId="77777777" w:rsidR="00F42E53" w:rsidRDefault="002421D4">
      <w:pPr>
        <w:ind w:right="601"/>
      </w:pPr>
      <w:r>
        <w:t xml:space="preserve">When sharing data we will also have regard to the </w:t>
      </w:r>
      <w:hyperlink r:id="rId24">
        <w:r>
          <w:rPr>
            <w:color w:val="0561C1"/>
            <w:u w:val="single" w:color="0561C1"/>
          </w:rPr>
          <w:t>ICO’s</w:t>
        </w:r>
      </w:hyperlink>
      <w:hyperlink r:id="rId25">
        <w:r>
          <w:rPr>
            <w:color w:val="0561C1"/>
            <w:u w:val="single" w:color="0561C1"/>
          </w:rPr>
          <w:t xml:space="preserve"> </w:t>
        </w:r>
      </w:hyperlink>
      <w:hyperlink r:id="rId26">
        <w:r>
          <w:rPr>
            <w:color w:val="0561C1"/>
            <w:u w:val="single" w:color="0561C1"/>
          </w:rPr>
          <w:t>Data</w:t>
        </w:r>
      </w:hyperlink>
      <w:hyperlink r:id="rId27">
        <w:r>
          <w:rPr>
            <w:color w:val="0561C1"/>
            <w:u w:val="single" w:color="0561C1"/>
          </w:rPr>
          <w:t xml:space="preserve"> </w:t>
        </w:r>
      </w:hyperlink>
      <w:hyperlink r:id="rId28">
        <w:r>
          <w:rPr>
            <w:color w:val="0561C1"/>
            <w:u w:val="single" w:color="0561C1"/>
          </w:rPr>
          <w:t>Sharing</w:t>
        </w:r>
      </w:hyperlink>
      <w:hyperlink r:id="rId29">
        <w:r>
          <w:rPr>
            <w:color w:val="0561C1"/>
            <w:u w:val="single" w:color="0561C1"/>
          </w:rPr>
          <w:t xml:space="preserve"> </w:t>
        </w:r>
      </w:hyperlink>
      <w:hyperlink r:id="rId30">
        <w:r>
          <w:rPr>
            <w:color w:val="0561C1"/>
            <w:u w:val="single" w:color="0561C1"/>
          </w:rPr>
          <w:t>Code</w:t>
        </w:r>
      </w:hyperlink>
      <w:hyperlink r:id="rId31">
        <w:r>
          <w:rPr>
            <w:color w:val="0561C1"/>
            <w:u w:val="single" w:color="0561C1"/>
          </w:rPr>
          <w:t xml:space="preserve"> </w:t>
        </w:r>
      </w:hyperlink>
      <w:hyperlink r:id="rId32">
        <w:r>
          <w:rPr>
            <w:color w:val="0561C1"/>
            <w:u w:val="single" w:color="0561C1"/>
          </w:rPr>
          <w:t>of</w:t>
        </w:r>
      </w:hyperlink>
      <w:hyperlink r:id="rId33">
        <w:r>
          <w:rPr>
            <w:color w:val="0561C1"/>
            <w:u w:val="single" w:color="0561C1"/>
          </w:rPr>
          <w:t xml:space="preserve"> </w:t>
        </w:r>
      </w:hyperlink>
      <w:hyperlink r:id="rId34">
        <w:r>
          <w:rPr>
            <w:color w:val="0561C1"/>
            <w:u w:val="single" w:color="0561C1"/>
          </w:rPr>
          <w:t>Practice</w:t>
        </w:r>
      </w:hyperlink>
      <w:hyperlink r:id="rId35">
        <w:r>
          <w:t xml:space="preserve"> </w:t>
        </w:r>
      </w:hyperlink>
    </w:p>
    <w:p w14:paraId="46431653" w14:textId="77777777" w:rsidR="00F42E53" w:rsidRDefault="002421D4">
      <w:pPr>
        <w:spacing w:after="0" w:line="259" w:lineRule="auto"/>
        <w:ind w:left="0" w:firstLine="0"/>
        <w:jc w:val="left"/>
      </w:pPr>
      <w:r>
        <w:rPr>
          <w:sz w:val="22"/>
        </w:rPr>
        <w:t xml:space="preserve"> </w:t>
      </w:r>
    </w:p>
    <w:p w14:paraId="16BC4705" w14:textId="77777777" w:rsidR="00F42E53" w:rsidRDefault="002421D4">
      <w:pPr>
        <w:spacing w:after="0" w:line="259" w:lineRule="auto"/>
        <w:ind w:left="0" w:firstLine="0"/>
        <w:jc w:val="left"/>
      </w:pPr>
      <w:r>
        <w:rPr>
          <w:rFonts w:ascii="Calibri" w:eastAsia="Calibri" w:hAnsi="Calibri" w:cs="Calibri"/>
          <w:sz w:val="22"/>
        </w:rPr>
        <w:t xml:space="preserve"> </w:t>
      </w:r>
    </w:p>
    <w:p w14:paraId="4FFD4EA0" w14:textId="77777777" w:rsidR="00F42E53" w:rsidRDefault="002421D4">
      <w:pPr>
        <w:spacing w:after="0" w:line="259" w:lineRule="auto"/>
        <w:ind w:left="0" w:firstLine="0"/>
        <w:jc w:val="left"/>
      </w:pPr>
      <w:r>
        <w:rPr>
          <w:rFonts w:ascii="Calibri" w:eastAsia="Calibri" w:hAnsi="Calibri" w:cs="Calibri"/>
          <w:sz w:val="22"/>
        </w:rPr>
        <w:lastRenderedPageBreak/>
        <w:t xml:space="preserve"> </w:t>
      </w:r>
    </w:p>
    <w:p w14:paraId="43BE38BA" w14:textId="77777777" w:rsidR="00F42E53" w:rsidRDefault="002421D4">
      <w:pPr>
        <w:spacing w:after="0" w:line="259" w:lineRule="auto"/>
        <w:ind w:left="0" w:firstLine="0"/>
        <w:jc w:val="left"/>
      </w:pPr>
      <w:r>
        <w:rPr>
          <w:rFonts w:ascii="Calibri" w:eastAsia="Calibri" w:hAnsi="Calibri" w:cs="Calibri"/>
          <w:sz w:val="22"/>
        </w:rPr>
        <w:t xml:space="preserve"> </w:t>
      </w:r>
    </w:p>
    <w:p w14:paraId="739300EC" w14:textId="77777777" w:rsidR="00F42E53" w:rsidRDefault="002421D4">
      <w:pPr>
        <w:spacing w:after="0" w:line="259" w:lineRule="auto"/>
        <w:ind w:left="0" w:firstLine="0"/>
        <w:jc w:val="left"/>
      </w:pPr>
      <w:r>
        <w:rPr>
          <w:rFonts w:ascii="Calibri" w:eastAsia="Calibri" w:hAnsi="Calibri" w:cs="Calibri"/>
          <w:sz w:val="22"/>
        </w:rPr>
        <w:t xml:space="preserve"> </w:t>
      </w:r>
    </w:p>
    <w:p w14:paraId="69975744" w14:textId="77777777" w:rsidR="00F42E53" w:rsidRDefault="002421D4">
      <w:pPr>
        <w:spacing w:after="0" w:line="259" w:lineRule="auto"/>
        <w:ind w:left="0" w:firstLine="0"/>
        <w:jc w:val="left"/>
      </w:pPr>
      <w:r>
        <w:rPr>
          <w:rFonts w:ascii="Calibri" w:eastAsia="Calibri" w:hAnsi="Calibri" w:cs="Calibri"/>
          <w:sz w:val="22"/>
        </w:rPr>
        <w:t xml:space="preserve"> </w:t>
      </w:r>
    </w:p>
    <w:p w14:paraId="6DFBBD84" w14:textId="77777777" w:rsidR="00F42E53" w:rsidRDefault="002421D4">
      <w:pPr>
        <w:spacing w:after="0" w:line="259" w:lineRule="auto"/>
        <w:ind w:left="0" w:firstLine="0"/>
        <w:jc w:val="left"/>
      </w:pPr>
      <w:r>
        <w:rPr>
          <w:rFonts w:ascii="Calibri" w:eastAsia="Calibri" w:hAnsi="Calibri" w:cs="Calibri"/>
          <w:sz w:val="22"/>
        </w:rPr>
        <w:t xml:space="preserve"> </w:t>
      </w:r>
    </w:p>
    <w:p w14:paraId="6DA26DC8" w14:textId="77777777" w:rsidR="00F42E53" w:rsidRDefault="002421D4">
      <w:pPr>
        <w:spacing w:after="0" w:line="259" w:lineRule="auto"/>
        <w:ind w:left="0" w:firstLine="0"/>
        <w:jc w:val="left"/>
      </w:pPr>
      <w:r>
        <w:rPr>
          <w:rFonts w:ascii="Calibri" w:eastAsia="Calibri" w:hAnsi="Calibri" w:cs="Calibri"/>
          <w:sz w:val="22"/>
        </w:rPr>
        <w:t xml:space="preserve"> </w:t>
      </w:r>
    </w:p>
    <w:p w14:paraId="0B5A832D" w14:textId="77777777" w:rsidR="00F42E53" w:rsidRDefault="002421D4">
      <w:pPr>
        <w:spacing w:after="0" w:line="259" w:lineRule="auto"/>
        <w:ind w:left="0" w:firstLine="0"/>
        <w:jc w:val="left"/>
      </w:pPr>
      <w:r>
        <w:rPr>
          <w:rFonts w:ascii="Calibri" w:eastAsia="Calibri" w:hAnsi="Calibri" w:cs="Calibri"/>
          <w:sz w:val="22"/>
        </w:rPr>
        <w:t xml:space="preserve"> </w:t>
      </w:r>
    </w:p>
    <w:p w14:paraId="2A671005" w14:textId="77777777" w:rsidR="00F42E53" w:rsidRDefault="002421D4">
      <w:pPr>
        <w:spacing w:after="0" w:line="259" w:lineRule="auto"/>
        <w:ind w:left="0" w:firstLine="0"/>
        <w:jc w:val="left"/>
      </w:pPr>
      <w:r>
        <w:rPr>
          <w:rFonts w:ascii="Calibri" w:eastAsia="Calibri" w:hAnsi="Calibri" w:cs="Calibri"/>
          <w:sz w:val="22"/>
        </w:rPr>
        <w:t xml:space="preserve"> </w:t>
      </w:r>
    </w:p>
    <w:p w14:paraId="4EDE4BE9" w14:textId="77777777" w:rsidR="00F42E53" w:rsidRDefault="002421D4">
      <w:pPr>
        <w:spacing w:after="0" w:line="259" w:lineRule="auto"/>
        <w:ind w:left="0" w:firstLine="0"/>
        <w:jc w:val="left"/>
      </w:pPr>
      <w:r>
        <w:rPr>
          <w:rFonts w:ascii="Calibri" w:eastAsia="Calibri" w:hAnsi="Calibri" w:cs="Calibri"/>
          <w:sz w:val="22"/>
        </w:rPr>
        <w:t xml:space="preserve"> </w:t>
      </w:r>
    </w:p>
    <w:p w14:paraId="4112F70C" w14:textId="77777777" w:rsidR="00F42E53" w:rsidRDefault="002421D4">
      <w:pPr>
        <w:spacing w:after="0" w:line="259" w:lineRule="auto"/>
        <w:ind w:left="0" w:firstLine="0"/>
        <w:jc w:val="left"/>
      </w:pPr>
      <w:r>
        <w:rPr>
          <w:rFonts w:ascii="Calibri" w:eastAsia="Calibri" w:hAnsi="Calibri" w:cs="Calibri"/>
          <w:sz w:val="22"/>
        </w:rPr>
        <w:t xml:space="preserve"> </w:t>
      </w:r>
    </w:p>
    <w:p w14:paraId="0F9C5331" w14:textId="77777777" w:rsidR="00F42E53" w:rsidRDefault="002421D4">
      <w:pPr>
        <w:spacing w:after="0" w:line="259" w:lineRule="auto"/>
        <w:ind w:left="0" w:firstLine="0"/>
        <w:jc w:val="left"/>
      </w:pPr>
      <w:r>
        <w:rPr>
          <w:rFonts w:ascii="Calibri" w:eastAsia="Calibri" w:hAnsi="Calibri" w:cs="Calibri"/>
          <w:sz w:val="22"/>
        </w:rPr>
        <w:t xml:space="preserve"> </w:t>
      </w:r>
    </w:p>
    <w:p w14:paraId="7B302B61" w14:textId="77777777" w:rsidR="00F42E53" w:rsidRDefault="002421D4">
      <w:pPr>
        <w:spacing w:after="0" w:line="259" w:lineRule="auto"/>
        <w:ind w:left="0" w:firstLine="0"/>
        <w:jc w:val="left"/>
      </w:pPr>
      <w:r>
        <w:rPr>
          <w:rFonts w:ascii="Calibri" w:eastAsia="Calibri" w:hAnsi="Calibri" w:cs="Calibri"/>
          <w:sz w:val="22"/>
        </w:rPr>
        <w:t xml:space="preserve"> </w:t>
      </w:r>
    </w:p>
    <w:p w14:paraId="01FD2B5E" w14:textId="77777777" w:rsidR="00F42E53" w:rsidRDefault="002421D4">
      <w:pPr>
        <w:spacing w:after="0" w:line="259" w:lineRule="auto"/>
        <w:ind w:left="0" w:firstLine="0"/>
        <w:jc w:val="left"/>
      </w:pPr>
      <w:r>
        <w:rPr>
          <w:rFonts w:ascii="Calibri" w:eastAsia="Calibri" w:hAnsi="Calibri" w:cs="Calibri"/>
          <w:sz w:val="22"/>
        </w:rPr>
        <w:t xml:space="preserve"> </w:t>
      </w:r>
    </w:p>
    <w:p w14:paraId="687563D4" w14:textId="77777777" w:rsidR="00F42E53" w:rsidRDefault="002421D4">
      <w:pPr>
        <w:spacing w:after="0" w:line="259" w:lineRule="auto"/>
        <w:ind w:left="0" w:firstLine="0"/>
        <w:jc w:val="left"/>
      </w:pPr>
      <w:r>
        <w:rPr>
          <w:rFonts w:ascii="Calibri" w:eastAsia="Calibri" w:hAnsi="Calibri" w:cs="Calibri"/>
          <w:sz w:val="22"/>
        </w:rPr>
        <w:t xml:space="preserve"> </w:t>
      </w:r>
    </w:p>
    <w:p w14:paraId="7A839C13" w14:textId="77777777" w:rsidR="00F42E53" w:rsidRDefault="002421D4">
      <w:pPr>
        <w:spacing w:after="179" w:line="259" w:lineRule="auto"/>
        <w:ind w:left="0" w:firstLine="0"/>
        <w:jc w:val="left"/>
      </w:pPr>
      <w:r>
        <w:rPr>
          <w:rFonts w:ascii="Calibri" w:eastAsia="Calibri" w:hAnsi="Calibri" w:cs="Calibri"/>
          <w:sz w:val="22"/>
        </w:rPr>
        <w:t xml:space="preserve"> </w:t>
      </w:r>
    </w:p>
    <w:p w14:paraId="26077080" w14:textId="77777777" w:rsidR="00F42E53" w:rsidRDefault="002421D4">
      <w:pPr>
        <w:pStyle w:val="Heading2"/>
        <w:ind w:left="62" w:right="0"/>
      </w:pPr>
      <w:r>
        <w:t xml:space="preserve">Limitation, Minimisation and Accuracy </w:t>
      </w:r>
    </w:p>
    <w:p w14:paraId="0673B20D" w14:textId="77777777" w:rsidR="00F42E53" w:rsidRDefault="002421D4">
      <w:pPr>
        <w:spacing w:after="0" w:line="259" w:lineRule="auto"/>
        <w:ind w:left="0" w:firstLine="0"/>
        <w:jc w:val="left"/>
      </w:pPr>
      <w:r>
        <w:rPr>
          <w:b/>
        </w:rPr>
        <w:t xml:space="preserve"> </w:t>
      </w:r>
    </w:p>
    <w:p w14:paraId="1F823E25" w14:textId="77777777" w:rsidR="00F42E53" w:rsidRDefault="002421D4">
      <w:pPr>
        <w:ind w:right="601"/>
      </w:pPr>
      <w:r>
        <w:t xml:space="preserve">We will only collect personal data for specified, explicit and legitimate reasons. We will explain these reasons to the individuals when we first collect their data. Our Privacy Notice and linked documents are published on our website. </w:t>
      </w:r>
    </w:p>
    <w:p w14:paraId="6296C55D" w14:textId="77777777" w:rsidR="00F42E53" w:rsidRDefault="002421D4">
      <w:pPr>
        <w:spacing w:after="0" w:line="259" w:lineRule="auto"/>
        <w:ind w:left="0" w:firstLine="0"/>
        <w:jc w:val="left"/>
      </w:pPr>
      <w:r>
        <w:t xml:space="preserve"> </w:t>
      </w:r>
    </w:p>
    <w:p w14:paraId="4D1E7C44" w14:textId="77777777" w:rsidR="00F42E53" w:rsidRDefault="002421D4">
      <w:pPr>
        <w:ind w:right="601"/>
      </w:pPr>
      <w:r>
        <w:t xml:space="preserve">If we want to use personal data for reasons other than those given when we first obtained it, we will inform the individuals concerned before we do so, and seek consent where necessary. </w:t>
      </w:r>
    </w:p>
    <w:p w14:paraId="259223BB" w14:textId="77777777" w:rsidR="00F42E53" w:rsidRDefault="002421D4">
      <w:pPr>
        <w:spacing w:after="0" w:line="259" w:lineRule="auto"/>
        <w:ind w:left="0" w:firstLine="0"/>
        <w:jc w:val="left"/>
      </w:pPr>
      <w:r>
        <w:t xml:space="preserve"> </w:t>
      </w:r>
    </w:p>
    <w:p w14:paraId="72718D67" w14:textId="77777777" w:rsidR="00F42E53" w:rsidRDefault="002421D4">
      <w:pPr>
        <w:ind w:right="601"/>
      </w:pPr>
      <w:r>
        <w:t xml:space="preserve">Staff must only process personal data where it is necessary in order to do their jobs. When staff no longer need the personal data they hold, they must ensure it is deleted or anonymised. This will be done in accordance with the statutory regulations with which each service is registered. </w:t>
      </w:r>
    </w:p>
    <w:p w14:paraId="094AABC5" w14:textId="77777777" w:rsidR="00F42E53" w:rsidRDefault="002421D4">
      <w:pPr>
        <w:spacing w:after="0" w:line="259" w:lineRule="auto"/>
        <w:ind w:left="0" w:firstLine="0"/>
        <w:jc w:val="left"/>
      </w:pPr>
      <w:r>
        <w:t xml:space="preserve"> </w:t>
      </w:r>
    </w:p>
    <w:p w14:paraId="10AC6814" w14:textId="77777777" w:rsidR="00F42E53" w:rsidRDefault="002421D4">
      <w:pPr>
        <w:spacing w:after="20" w:line="259" w:lineRule="auto"/>
        <w:ind w:left="0" w:firstLine="0"/>
        <w:jc w:val="left"/>
      </w:pPr>
      <w:r>
        <w:t xml:space="preserve"> </w:t>
      </w:r>
    </w:p>
    <w:p w14:paraId="412193FE" w14:textId="77777777" w:rsidR="00F42E53" w:rsidRDefault="002421D4">
      <w:pPr>
        <w:pStyle w:val="Heading1"/>
        <w:tabs>
          <w:tab w:val="center" w:pos="3121"/>
        </w:tabs>
        <w:ind w:left="0" w:right="0" w:firstLine="0"/>
      </w:pPr>
      <w:bookmarkStart w:id="4" w:name="_Toc33371"/>
      <w:r>
        <w:rPr>
          <w:sz w:val="22"/>
        </w:rPr>
        <w:t xml:space="preserve">5.0 </w:t>
      </w:r>
      <w:r>
        <w:rPr>
          <w:sz w:val="22"/>
        </w:rPr>
        <w:tab/>
      </w:r>
      <w:r>
        <w:t xml:space="preserve">DATA PROTECTION BY DESIGN OR </w:t>
      </w:r>
      <w:r>
        <w:t xml:space="preserve">DEFAULT </w:t>
      </w:r>
      <w:bookmarkEnd w:id="4"/>
    </w:p>
    <w:p w14:paraId="4037511D" w14:textId="77777777" w:rsidR="00F42E53" w:rsidRDefault="002421D4">
      <w:pPr>
        <w:spacing w:after="16" w:line="259" w:lineRule="auto"/>
        <w:ind w:left="0" w:firstLine="0"/>
        <w:jc w:val="left"/>
      </w:pPr>
      <w:r>
        <w:rPr>
          <w:b/>
        </w:rPr>
        <w:t xml:space="preserve"> </w:t>
      </w:r>
    </w:p>
    <w:p w14:paraId="252F9735" w14:textId="77777777" w:rsidR="00F42E53" w:rsidRDefault="002421D4">
      <w:pPr>
        <w:spacing w:line="244" w:lineRule="auto"/>
        <w:ind w:left="48" w:right="489"/>
        <w:jc w:val="left"/>
      </w:pPr>
      <w:r>
        <w:t xml:space="preserve">The principle of ‘data protection by design or default’ means that we will put measures in place to ensure we have integrated data protection into all of our processing activities, either as part of standard practice or by specifically considering those requirements at every stage of planning. This includes: </w:t>
      </w:r>
    </w:p>
    <w:p w14:paraId="2DC8A5A5" w14:textId="77777777" w:rsidR="00F42E53" w:rsidRDefault="002421D4">
      <w:pPr>
        <w:spacing w:after="0" w:line="259" w:lineRule="auto"/>
        <w:ind w:left="0" w:firstLine="0"/>
        <w:jc w:val="left"/>
      </w:pPr>
      <w:r>
        <w:t xml:space="preserve"> </w:t>
      </w:r>
    </w:p>
    <w:p w14:paraId="0587792C" w14:textId="77777777" w:rsidR="00F42E53" w:rsidRDefault="002421D4">
      <w:pPr>
        <w:numPr>
          <w:ilvl w:val="0"/>
          <w:numId w:val="5"/>
        </w:numPr>
        <w:ind w:right="601" w:hanging="562"/>
      </w:pPr>
      <w:r>
        <w:t xml:space="preserve">Appointing a suitably qualified DPO, and ensuring they have the necessary resources to fulfil their duties and maintain their expert knowledge; </w:t>
      </w:r>
    </w:p>
    <w:p w14:paraId="39403260" w14:textId="77777777" w:rsidR="00F42E53" w:rsidRDefault="002421D4">
      <w:pPr>
        <w:numPr>
          <w:ilvl w:val="0"/>
          <w:numId w:val="5"/>
        </w:numPr>
        <w:ind w:right="601" w:hanging="562"/>
      </w:pPr>
      <w:r>
        <w:t xml:space="preserve">Only processing personal data that is necessary for each specific purpose of processing, and always in line with the data protection principles set out in relevant Data Protection Law; </w:t>
      </w:r>
    </w:p>
    <w:p w14:paraId="6ED958DA" w14:textId="77777777" w:rsidR="00F42E53" w:rsidRDefault="002421D4">
      <w:pPr>
        <w:numPr>
          <w:ilvl w:val="0"/>
          <w:numId w:val="5"/>
        </w:numPr>
        <w:ind w:right="601" w:hanging="562"/>
      </w:pPr>
      <w:r>
        <w:t xml:space="preserve">Completing </w:t>
      </w:r>
      <w:hyperlink r:id="rId36">
        <w:r>
          <w:rPr>
            <w:color w:val="0561C1"/>
            <w:u w:val="single" w:color="0561C1"/>
          </w:rPr>
          <w:t>Data Protection Impact Assessments</w:t>
        </w:r>
      </w:hyperlink>
      <w:hyperlink r:id="rId37">
        <w:r>
          <w:rPr>
            <w:color w:val="0561C1"/>
          </w:rPr>
          <w:t xml:space="preserve"> </w:t>
        </w:r>
      </w:hyperlink>
      <w:r>
        <w:t xml:space="preserve">(DPIAs) where the services processing of personal data presents a high risk to rights and freedoms of individuals and when introducing new technologies (the DPO will advise on this process); </w:t>
      </w:r>
    </w:p>
    <w:p w14:paraId="23328414" w14:textId="77777777" w:rsidR="00F42E53" w:rsidRDefault="002421D4">
      <w:pPr>
        <w:numPr>
          <w:ilvl w:val="0"/>
          <w:numId w:val="5"/>
        </w:numPr>
        <w:ind w:right="601" w:hanging="562"/>
      </w:pPr>
      <w:r>
        <w:t xml:space="preserve">Integrating data protection into internal documents including this and related policies and privacy notices; </w:t>
      </w:r>
    </w:p>
    <w:p w14:paraId="6401C7DC" w14:textId="77777777" w:rsidR="00F42E53" w:rsidRDefault="002421D4">
      <w:pPr>
        <w:numPr>
          <w:ilvl w:val="0"/>
          <w:numId w:val="5"/>
        </w:numPr>
        <w:ind w:right="601" w:hanging="562"/>
      </w:pPr>
      <w:r>
        <w:t xml:space="preserve">Regularly training members of staff on Data Protection Law, this and related policies, and any other data protection matters, for which attendance records are maintained; </w:t>
      </w:r>
    </w:p>
    <w:p w14:paraId="335D1F89" w14:textId="77777777" w:rsidR="00F42E53" w:rsidRDefault="002421D4">
      <w:pPr>
        <w:numPr>
          <w:ilvl w:val="0"/>
          <w:numId w:val="5"/>
        </w:numPr>
        <w:ind w:right="601" w:hanging="562"/>
      </w:pPr>
      <w:r>
        <w:t xml:space="preserve">Regularly conducting reviews and audits to test our privacy measures and make sure we are compliant </w:t>
      </w:r>
    </w:p>
    <w:p w14:paraId="168F91BB" w14:textId="77777777" w:rsidR="00F42E53" w:rsidRDefault="002421D4">
      <w:pPr>
        <w:numPr>
          <w:ilvl w:val="0"/>
          <w:numId w:val="5"/>
        </w:numPr>
        <w:ind w:right="601" w:hanging="562"/>
      </w:pPr>
      <w:r>
        <w:t xml:space="preserve">By achieving and maintaining external Cyber accreditations; </w:t>
      </w:r>
      <w:r>
        <w:rPr>
          <w:rFonts w:ascii="Segoe UI Symbol" w:eastAsia="Segoe UI Symbol" w:hAnsi="Segoe UI Symbol" w:cs="Segoe UI Symbol"/>
        </w:rPr>
        <w:t>•</w:t>
      </w:r>
      <w:r>
        <w:t xml:space="preserve"> </w:t>
      </w:r>
      <w:r>
        <w:tab/>
        <w:t xml:space="preserve">By taking appropriate organisational and technical measures; </w:t>
      </w:r>
    </w:p>
    <w:p w14:paraId="1CD666F0" w14:textId="77777777" w:rsidR="00F42E53" w:rsidRDefault="002421D4">
      <w:pPr>
        <w:numPr>
          <w:ilvl w:val="0"/>
          <w:numId w:val="5"/>
        </w:numPr>
        <w:ind w:right="601" w:hanging="562"/>
      </w:pPr>
      <w:r>
        <w:lastRenderedPageBreak/>
        <w:t xml:space="preserve">Maintaining records of our processing activities, including: </w:t>
      </w:r>
    </w:p>
    <w:p w14:paraId="6837BAE9" w14:textId="77777777" w:rsidR="00F42E53" w:rsidRDefault="002421D4">
      <w:pPr>
        <w:numPr>
          <w:ilvl w:val="1"/>
          <w:numId w:val="5"/>
        </w:numPr>
        <w:ind w:right="740" w:hanging="278"/>
      </w:pPr>
      <w:r>
        <w:t xml:space="preserve">For the benefit of data subjects, making available the name and contact details of our service and DPO and all information we are required to share about how we use and process their personal data (via our published Privacy Notice) </w:t>
      </w:r>
    </w:p>
    <w:p w14:paraId="3D0A5F8D" w14:textId="77777777" w:rsidR="00F42E53" w:rsidRDefault="002421D4">
      <w:pPr>
        <w:numPr>
          <w:ilvl w:val="1"/>
          <w:numId w:val="5"/>
        </w:numPr>
        <w:ind w:right="740" w:hanging="278"/>
      </w:pPr>
      <w:r>
        <w:t xml:space="preserve">For all personal data that we hold, maintaining an internal record of the type of data, data subject, how and why we are using the data, any third-party recipients, how and why we are storing the data, retention periods and how we are keeping the data secure. </w:t>
      </w:r>
    </w:p>
    <w:p w14:paraId="52007512" w14:textId="77777777" w:rsidR="00F42E53" w:rsidRDefault="002421D4">
      <w:pPr>
        <w:spacing w:after="0" w:line="259" w:lineRule="auto"/>
        <w:ind w:left="0" w:firstLine="0"/>
        <w:jc w:val="left"/>
      </w:pPr>
      <w:r>
        <w:t xml:space="preserve"> </w:t>
      </w:r>
    </w:p>
    <w:p w14:paraId="76980D00" w14:textId="77777777" w:rsidR="00F42E53" w:rsidRDefault="002421D4">
      <w:pPr>
        <w:spacing w:after="20" w:line="259" w:lineRule="auto"/>
        <w:ind w:left="0" w:firstLine="0"/>
        <w:jc w:val="left"/>
      </w:pPr>
      <w:r>
        <w:t xml:space="preserve"> </w:t>
      </w:r>
    </w:p>
    <w:p w14:paraId="4237B48F" w14:textId="77777777" w:rsidR="00F42E53" w:rsidRDefault="002421D4">
      <w:pPr>
        <w:pStyle w:val="Heading1"/>
        <w:tabs>
          <w:tab w:val="center" w:pos="2493"/>
        </w:tabs>
        <w:ind w:left="0" w:right="0" w:firstLine="0"/>
      </w:pPr>
      <w:bookmarkStart w:id="5" w:name="_Toc33372"/>
      <w:r>
        <w:rPr>
          <w:sz w:val="22"/>
        </w:rPr>
        <w:t xml:space="preserve">6.0 </w:t>
      </w:r>
      <w:r>
        <w:rPr>
          <w:sz w:val="22"/>
        </w:rPr>
        <w:tab/>
      </w:r>
      <w:r>
        <w:t xml:space="preserve">PRIVACY NOTICES (ARTICLE 12) </w:t>
      </w:r>
      <w:bookmarkEnd w:id="5"/>
    </w:p>
    <w:p w14:paraId="6E1699A7" w14:textId="77777777" w:rsidR="00F42E53" w:rsidRDefault="002421D4">
      <w:pPr>
        <w:spacing w:after="0" w:line="259" w:lineRule="auto"/>
        <w:ind w:left="0" w:firstLine="0"/>
        <w:jc w:val="left"/>
      </w:pPr>
      <w:r>
        <w:rPr>
          <w:b/>
        </w:rPr>
        <w:t xml:space="preserve"> </w:t>
      </w:r>
    </w:p>
    <w:p w14:paraId="74119559" w14:textId="77777777" w:rsidR="00F42E53" w:rsidRDefault="002421D4">
      <w:pPr>
        <w:ind w:right="734"/>
      </w:pPr>
      <w:r>
        <w:t xml:space="preserve">When personal data is collected from a data subject, the company is transparent in its processing of personal data and provides data subjects with the following information as part of a Privacy Notice, using clear and plain language. </w:t>
      </w:r>
    </w:p>
    <w:p w14:paraId="619B76EF" w14:textId="77777777" w:rsidR="00F42E53" w:rsidRDefault="002421D4">
      <w:pPr>
        <w:spacing w:after="0" w:line="259" w:lineRule="auto"/>
        <w:ind w:left="0" w:firstLine="0"/>
        <w:jc w:val="left"/>
      </w:pPr>
      <w:r>
        <w:rPr>
          <w:rFonts w:ascii="Calibri" w:eastAsia="Calibri" w:hAnsi="Calibri" w:cs="Calibri"/>
          <w:sz w:val="22"/>
        </w:rPr>
        <w:t xml:space="preserve"> </w:t>
      </w:r>
    </w:p>
    <w:p w14:paraId="242E958E" w14:textId="77777777" w:rsidR="00F42E53" w:rsidRDefault="002421D4">
      <w:pPr>
        <w:spacing w:after="0" w:line="259" w:lineRule="auto"/>
        <w:ind w:left="0" w:firstLine="0"/>
        <w:jc w:val="left"/>
      </w:pPr>
      <w:r>
        <w:rPr>
          <w:rFonts w:ascii="Calibri" w:eastAsia="Calibri" w:hAnsi="Calibri" w:cs="Calibri"/>
          <w:sz w:val="22"/>
        </w:rPr>
        <w:t xml:space="preserve"> </w:t>
      </w:r>
    </w:p>
    <w:p w14:paraId="2A2C1D30" w14:textId="77777777" w:rsidR="00F42E53" w:rsidRDefault="002421D4">
      <w:pPr>
        <w:spacing w:after="12" w:line="259" w:lineRule="auto"/>
        <w:ind w:left="0" w:firstLine="0"/>
        <w:jc w:val="left"/>
      </w:pPr>
      <w:r>
        <w:rPr>
          <w:rFonts w:ascii="Calibri" w:eastAsia="Calibri" w:hAnsi="Calibri" w:cs="Calibri"/>
        </w:rPr>
        <w:t xml:space="preserve"> </w:t>
      </w:r>
    </w:p>
    <w:p w14:paraId="7968818B" w14:textId="77777777" w:rsidR="00F42E53" w:rsidRDefault="002421D4">
      <w:pPr>
        <w:numPr>
          <w:ilvl w:val="0"/>
          <w:numId w:val="6"/>
        </w:numPr>
        <w:ind w:right="998" w:hanging="363"/>
      </w:pPr>
      <w:r>
        <w:t xml:space="preserve">The purpose(s), including legal basis/justification, for the intended processing of personal data </w:t>
      </w:r>
    </w:p>
    <w:p w14:paraId="393E99CC" w14:textId="77777777" w:rsidR="00F42E53" w:rsidRDefault="002421D4">
      <w:pPr>
        <w:numPr>
          <w:ilvl w:val="0"/>
          <w:numId w:val="6"/>
        </w:numPr>
        <w:ind w:right="998" w:hanging="363"/>
      </w:pPr>
      <w:r>
        <w:t xml:space="preserve">Potential recipients of personal data </w:t>
      </w:r>
    </w:p>
    <w:p w14:paraId="319EFAF5" w14:textId="77777777" w:rsidR="00F42E53" w:rsidRDefault="002421D4">
      <w:pPr>
        <w:numPr>
          <w:ilvl w:val="0"/>
          <w:numId w:val="6"/>
        </w:numPr>
        <w:spacing w:line="244" w:lineRule="auto"/>
        <w:ind w:right="998" w:hanging="363"/>
      </w:pPr>
      <w:r>
        <w:t xml:space="preserve">Any information regarding the intention to disclose personal data to third parties, the safeguards in place for transferring this data and whether it is transferred outside the United Kingdom </w:t>
      </w:r>
    </w:p>
    <w:p w14:paraId="3B0E464C" w14:textId="77777777" w:rsidR="00F42E53" w:rsidRDefault="002421D4">
      <w:pPr>
        <w:numPr>
          <w:ilvl w:val="0"/>
          <w:numId w:val="6"/>
        </w:numPr>
        <w:ind w:right="998" w:hanging="363"/>
      </w:pPr>
      <w:r>
        <w:t xml:space="preserve">Any information on technologies used to collect personal data about the data subject; </w:t>
      </w:r>
      <w:r>
        <w:rPr>
          <w:rFonts w:ascii="Segoe UI Symbol" w:eastAsia="Segoe UI Symbol" w:hAnsi="Segoe UI Symbol" w:cs="Segoe UI Symbol"/>
          <w:sz w:val="22"/>
        </w:rPr>
        <w:t>•</w:t>
      </w:r>
      <w:r>
        <w:rPr>
          <w:sz w:val="22"/>
        </w:rPr>
        <w:t xml:space="preserve"> </w:t>
      </w:r>
      <w:r>
        <w:rPr>
          <w:sz w:val="22"/>
        </w:rPr>
        <w:tab/>
      </w:r>
      <w:r>
        <w:t xml:space="preserve">Any other information required to demonstrate that the processing is fair and transparent. </w:t>
      </w:r>
    </w:p>
    <w:p w14:paraId="2DAB9B6A" w14:textId="77777777" w:rsidR="00F42E53" w:rsidRDefault="002421D4">
      <w:pPr>
        <w:spacing w:after="0" w:line="259" w:lineRule="auto"/>
        <w:ind w:left="0" w:firstLine="0"/>
        <w:jc w:val="left"/>
      </w:pPr>
      <w:r>
        <w:t xml:space="preserve"> </w:t>
      </w:r>
    </w:p>
    <w:p w14:paraId="2B760820" w14:textId="77777777" w:rsidR="00F42E53" w:rsidRDefault="002421D4">
      <w:pPr>
        <w:spacing w:after="249"/>
        <w:ind w:right="601"/>
      </w:pPr>
      <w:r>
        <w:t xml:space="preserve">The Outcomes First Group Privacy Notice, including statements for specific data subjects groups, can be found on the company website. </w:t>
      </w:r>
    </w:p>
    <w:p w14:paraId="6A228C90" w14:textId="77777777" w:rsidR="00F42E53" w:rsidRDefault="002421D4">
      <w:pPr>
        <w:spacing w:after="20" w:line="259" w:lineRule="auto"/>
        <w:ind w:left="0" w:firstLine="0"/>
        <w:jc w:val="left"/>
      </w:pPr>
      <w:r>
        <w:t xml:space="preserve"> </w:t>
      </w:r>
    </w:p>
    <w:p w14:paraId="4A776174" w14:textId="77777777" w:rsidR="00F42E53" w:rsidRDefault="002421D4">
      <w:pPr>
        <w:pStyle w:val="Heading1"/>
        <w:tabs>
          <w:tab w:val="center" w:pos="2263"/>
        </w:tabs>
        <w:ind w:left="0" w:right="0" w:firstLine="0"/>
      </w:pPr>
      <w:bookmarkStart w:id="6" w:name="_Toc33373"/>
      <w:r>
        <w:rPr>
          <w:sz w:val="22"/>
        </w:rPr>
        <w:t xml:space="preserve">7.0 </w:t>
      </w:r>
      <w:r>
        <w:rPr>
          <w:sz w:val="22"/>
        </w:rPr>
        <w:tab/>
      </w:r>
      <w:r>
        <w:t xml:space="preserve">SHARING PERSONAL DATA </w:t>
      </w:r>
      <w:bookmarkEnd w:id="6"/>
    </w:p>
    <w:p w14:paraId="60E2839E" w14:textId="77777777" w:rsidR="00F42E53" w:rsidRDefault="002421D4">
      <w:pPr>
        <w:spacing w:after="0" w:line="259" w:lineRule="auto"/>
        <w:ind w:left="0" w:firstLine="0"/>
        <w:jc w:val="left"/>
      </w:pPr>
      <w:r>
        <w:rPr>
          <w:b/>
        </w:rPr>
        <w:t xml:space="preserve"> </w:t>
      </w:r>
    </w:p>
    <w:p w14:paraId="6CE0347D" w14:textId="77777777" w:rsidR="00F42E53" w:rsidRDefault="002421D4">
      <w:pPr>
        <w:spacing w:after="262"/>
        <w:ind w:right="601"/>
      </w:pPr>
      <w:r>
        <w:t xml:space="preserve">We will not normally share personal data with anyone else, but may </w:t>
      </w:r>
      <w:r>
        <w:t xml:space="preserve">do so where: </w:t>
      </w:r>
    </w:p>
    <w:p w14:paraId="704A956B" w14:textId="77777777" w:rsidR="00F42E53" w:rsidRDefault="002421D4">
      <w:pPr>
        <w:numPr>
          <w:ilvl w:val="0"/>
          <w:numId w:val="7"/>
        </w:numPr>
        <w:ind w:right="601" w:hanging="363"/>
      </w:pPr>
      <w:r>
        <w:t xml:space="preserve">There is an issue with a child/service user, parent/carer that puts the safety of our staff at risk; </w:t>
      </w:r>
    </w:p>
    <w:p w14:paraId="78532D5E" w14:textId="77777777" w:rsidR="00F42E53" w:rsidRDefault="002421D4">
      <w:pPr>
        <w:numPr>
          <w:ilvl w:val="0"/>
          <w:numId w:val="7"/>
        </w:numPr>
        <w:ind w:right="601" w:hanging="363"/>
      </w:pPr>
      <w:r>
        <w:t xml:space="preserve">We need to liaise with other agencies (we will seek consent as necessary before doing this); </w:t>
      </w:r>
    </w:p>
    <w:p w14:paraId="2A0066F6" w14:textId="77777777" w:rsidR="00F42E53" w:rsidRDefault="002421D4">
      <w:pPr>
        <w:numPr>
          <w:ilvl w:val="0"/>
          <w:numId w:val="7"/>
        </w:numPr>
        <w:ind w:right="601" w:hanging="363"/>
      </w:pPr>
      <w:r>
        <w:t xml:space="preserve">Our </w:t>
      </w:r>
      <w:r>
        <w:rPr>
          <w:b/>
        </w:rPr>
        <w:t xml:space="preserve">suppliers or contractors </w:t>
      </w:r>
      <w:r>
        <w:t xml:space="preserve">need data to </w:t>
      </w:r>
      <w:r>
        <w:t xml:space="preserve">enable us to provide services to our staff and service users for example, IT companies. When doing this, we will: </w:t>
      </w:r>
    </w:p>
    <w:p w14:paraId="6C7AAFED" w14:textId="77777777" w:rsidR="00F42E53" w:rsidRDefault="002421D4">
      <w:pPr>
        <w:numPr>
          <w:ilvl w:val="1"/>
          <w:numId w:val="7"/>
        </w:numPr>
        <w:ind w:right="878" w:hanging="360"/>
      </w:pPr>
      <w:r>
        <w:t xml:space="preserve">Only appoint suppliers or contractors which can provide sufficient guarantees that they comply with Data Protection Law </w:t>
      </w:r>
    </w:p>
    <w:p w14:paraId="39BBF8A8" w14:textId="77777777" w:rsidR="00F42E53" w:rsidRDefault="002421D4">
      <w:pPr>
        <w:numPr>
          <w:ilvl w:val="1"/>
          <w:numId w:val="7"/>
        </w:numPr>
        <w:spacing w:line="244" w:lineRule="auto"/>
        <w:ind w:right="878" w:hanging="360"/>
      </w:pPr>
      <w:r>
        <w:t xml:space="preserve">Establish a data sharing agreement with the supplier or contractor, either in the contract or as a standalone agreement, to ensure the fair and lawful processing of any personal data we share </w:t>
      </w:r>
    </w:p>
    <w:p w14:paraId="7B3F0BAF" w14:textId="77777777" w:rsidR="00F42E53" w:rsidRDefault="002421D4">
      <w:pPr>
        <w:numPr>
          <w:ilvl w:val="1"/>
          <w:numId w:val="7"/>
        </w:numPr>
        <w:ind w:right="878" w:hanging="360"/>
      </w:pPr>
      <w:r>
        <w:t xml:space="preserve">Only share data that the supplier or contractor needs to carry out their service, and information necessary to keep them safe while working with us </w:t>
      </w:r>
    </w:p>
    <w:p w14:paraId="3CB043CB" w14:textId="77777777" w:rsidR="00F42E53" w:rsidRDefault="002421D4">
      <w:pPr>
        <w:spacing w:after="0" w:line="259" w:lineRule="auto"/>
        <w:ind w:left="0" w:firstLine="0"/>
        <w:jc w:val="left"/>
      </w:pPr>
      <w:r>
        <w:t xml:space="preserve"> </w:t>
      </w:r>
    </w:p>
    <w:p w14:paraId="5125891A" w14:textId="77777777" w:rsidR="00F42E53" w:rsidRDefault="002421D4">
      <w:pPr>
        <w:spacing w:after="273"/>
        <w:ind w:right="601"/>
      </w:pPr>
      <w:r>
        <w:t xml:space="preserve">We will also share personal data with </w:t>
      </w:r>
      <w:r>
        <w:rPr>
          <w:b/>
        </w:rPr>
        <w:t xml:space="preserve">law enforcement and government bodies </w:t>
      </w:r>
      <w:r>
        <w:t xml:space="preserve">where we are legally required to do so, including for: </w:t>
      </w:r>
    </w:p>
    <w:p w14:paraId="280999CA" w14:textId="77777777" w:rsidR="00F42E53" w:rsidRDefault="002421D4">
      <w:pPr>
        <w:numPr>
          <w:ilvl w:val="0"/>
          <w:numId w:val="7"/>
        </w:numPr>
        <w:ind w:right="601" w:hanging="363"/>
      </w:pPr>
      <w:r>
        <w:t xml:space="preserve">The prevention or detection of crime and/or fraud </w:t>
      </w:r>
    </w:p>
    <w:p w14:paraId="135DB114" w14:textId="77777777" w:rsidR="00F42E53" w:rsidRDefault="002421D4">
      <w:pPr>
        <w:numPr>
          <w:ilvl w:val="0"/>
          <w:numId w:val="7"/>
        </w:numPr>
        <w:ind w:right="601" w:hanging="363"/>
      </w:pPr>
      <w:r>
        <w:t xml:space="preserve">The apprehension or prosecution of offenders </w:t>
      </w:r>
    </w:p>
    <w:p w14:paraId="0C5F05D0" w14:textId="77777777" w:rsidR="00F42E53" w:rsidRDefault="002421D4">
      <w:pPr>
        <w:numPr>
          <w:ilvl w:val="0"/>
          <w:numId w:val="7"/>
        </w:numPr>
        <w:ind w:right="601" w:hanging="363"/>
      </w:pPr>
      <w:r>
        <w:t xml:space="preserve">The assesment or collection of tax owed to HMRC </w:t>
      </w:r>
    </w:p>
    <w:p w14:paraId="346EC339" w14:textId="77777777" w:rsidR="00F42E53" w:rsidRDefault="002421D4">
      <w:pPr>
        <w:numPr>
          <w:ilvl w:val="0"/>
          <w:numId w:val="7"/>
        </w:numPr>
        <w:ind w:right="601" w:hanging="363"/>
      </w:pPr>
      <w:r>
        <w:lastRenderedPageBreak/>
        <w:t xml:space="preserve">In connection with legal proceedings </w:t>
      </w:r>
    </w:p>
    <w:p w14:paraId="18442033" w14:textId="77777777" w:rsidR="00F42E53" w:rsidRDefault="002421D4">
      <w:pPr>
        <w:numPr>
          <w:ilvl w:val="0"/>
          <w:numId w:val="7"/>
        </w:numPr>
        <w:ind w:right="601" w:hanging="363"/>
      </w:pPr>
      <w:r>
        <w:t xml:space="preserve">Where the disclosure is required to satisfy our safeguarding obligations </w:t>
      </w:r>
    </w:p>
    <w:p w14:paraId="08940ABD" w14:textId="77777777" w:rsidR="00F42E53" w:rsidRDefault="002421D4">
      <w:pPr>
        <w:numPr>
          <w:ilvl w:val="0"/>
          <w:numId w:val="7"/>
        </w:numPr>
        <w:spacing w:after="48"/>
        <w:ind w:right="601" w:hanging="363"/>
      </w:pPr>
      <w:r>
        <w:t xml:space="preserve">Research and statistical purposes, as long as </w:t>
      </w:r>
      <w:r>
        <w:t xml:space="preserve">personal data is sufficiently anonymised or consent has been provided </w:t>
      </w:r>
    </w:p>
    <w:p w14:paraId="326CAFB4" w14:textId="77777777" w:rsidR="00F42E53" w:rsidRDefault="002421D4">
      <w:pPr>
        <w:numPr>
          <w:ilvl w:val="0"/>
          <w:numId w:val="7"/>
        </w:numPr>
        <w:ind w:right="601" w:hanging="363"/>
      </w:pPr>
      <w:r>
        <w:t xml:space="preserve">Where we are registered to provide care services with a statutory body. </w:t>
      </w:r>
    </w:p>
    <w:p w14:paraId="0E9D6B54" w14:textId="77777777" w:rsidR="00F42E53" w:rsidRDefault="002421D4">
      <w:pPr>
        <w:spacing w:after="0" w:line="259" w:lineRule="auto"/>
        <w:ind w:left="0" w:firstLine="0"/>
        <w:jc w:val="left"/>
      </w:pPr>
      <w:r>
        <w:t xml:space="preserve"> </w:t>
      </w:r>
    </w:p>
    <w:p w14:paraId="482B2E50" w14:textId="77777777" w:rsidR="00F42E53" w:rsidRDefault="002421D4">
      <w:pPr>
        <w:ind w:right="883"/>
      </w:pPr>
      <w:r>
        <w:t xml:space="preserve">We may also share personal data with emergency services and local authorities to help them to respond to an emergency situation that affects any of our children/service users or staff. </w:t>
      </w:r>
    </w:p>
    <w:p w14:paraId="3B9C80C4" w14:textId="77777777" w:rsidR="00F42E53" w:rsidRDefault="002421D4">
      <w:pPr>
        <w:spacing w:after="0" w:line="259" w:lineRule="auto"/>
        <w:ind w:left="0" w:firstLine="0"/>
        <w:jc w:val="left"/>
      </w:pPr>
      <w:r>
        <w:t xml:space="preserve"> </w:t>
      </w:r>
    </w:p>
    <w:p w14:paraId="7E04A08A" w14:textId="77777777" w:rsidR="00F42E53" w:rsidRDefault="002421D4">
      <w:r>
        <w:t xml:space="preserve">As stated above, when sharing personal data, we will have due regard to the ICO’s Data Sharing Code of Practice. </w:t>
      </w:r>
    </w:p>
    <w:p w14:paraId="128FB6F6" w14:textId="77777777" w:rsidR="00F42E53" w:rsidRDefault="002421D4">
      <w:pPr>
        <w:spacing w:after="0" w:line="259" w:lineRule="auto"/>
        <w:ind w:left="0" w:firstLine="0"/>
        <w:jc w:val="left"/>
      </w:pPr>
      <w:r>
        <w:t xml:space="preserve"> </w:t>
      </w:r>
    </w:p>
    <w:p w14:paraId="2E6AB357" w14:textId="77777777" w:rsidR="00F42E53" w:rsidRDefault="002421D4">
      <w:pPr>
        <w:pStyle w:val="Heading2"/>
        <w:ind w:left="62" w:right="0"/>
      </w:pPr>
      <w:r>
        <w:t xml:space="preserve">Transferring Data Overseas </w:t>
      </w:r>
    </w:p>
    <w:p w14:paraId="4E6EDE61" w14:textId="77777777" w:rsidR="00F42E53" w:rsidRDefault="002421D4">
      <w:pPr>
        <w:spacing w:after="0" w:line="259" w:lineRule="auto"/>
        <w:ind w:left="0" w:firstLine="0"/>
        <w:jc w:val="left"/>
      </w:pPr>
      <w:r>
        <w:rPr>
          <w:b/>
        </w:rPr>
        <w:t xml:space="preserve"> </w:t>
      </w:r>
    </w:p>
    <w:p w14:paraId="0E561DE9" w14:textId="77777777" w:rsidR="00F42E53" w:rsidRDefault="002421D4">
      <w:pPr>
        <w:ind w:right="601"/>
      </w:pPr>
      <w:r>
        <w:t xml:space="preserve">Under UK Data Protection Law, we will only transfer personal data to a country or territory </w:t>
      </w:r>
      <w:r>
        <w:rPr>
          <w:b/>
        </w:rPr>
        <w:t xml:space="preserve">outside the </w:t>
      </w:r>
    </w:p>
    <w:p w14:paraId="18C631FD" w14:textId="77777777" w:rsidR="00F42E53" w:rsidRDefault="002421D4">
      <w:pPr>
        <w:spacing w:after="0" w:line="259" w:lineRule="auto"/>
        <w:ind w:left="0" w:firstLine="0"/>
        <w:jc w:val="left"/>
      </w:pPr>
      <w:r>
        <w:rPr>
          <w:rFonts w:ascii="Calibri" w:eastAsia="Calibri" w:hAnsi="Calibri" w:cs="Calibri"/>
          <w:sz w:val="22"/>
        </w:rPr>
        <w:t xml:space="preserve"> </w:t>
      </w:r>
    </w:p>
    <w:p w14:paraId="06786F2F" w14:textId="77777777" w:rsidR="00F42E53" w:rsidRDefault="002421D4">
      <w:pPr>
        <w:spacing w:after="0" w:line="259" w:lineRule="auto"/>
        <w:ind w:left="0" w:firstLine="0"/>
        <w:jc w:val="left"/>
      </w:pPr>
      <w:r>
        <w:rPr>
          <w:rFonts w:ascii="Calibri" w:eastAsia="Calibri" w:hAnsi="Calibri" w:cs="Calibri"/>
          <w:sz w:val="22"/>
        </w:rPr>
        <w:t xml:space="preserve"> </w:t>
      </w:r>
    </w:p>
    <w:p w14:paraId="554E215C" w14:textId="77777777" w:rsidR="00F42E53" w:rsidRDefault="002421D4">
      <w:pPr>
        <w:spacing w:after="0" w:line="259" w:lineRule="auto"/>
        <w:ind w:left="0" w:firstLine="0"/>
        <w:jc w:val="left"/>
      </w:pPr>
      <w:r>
        <w:rPr>
          <w:rFonts w:ascii="Calibri" w:eastAsia="Calibri" w:hAnsi="Calibri" w:cs="Calibri"/>
          <w:sz w:val="22"/>
        </w:rPr>
        <w:t xml:space="preserve"> </w:t>
      </w:r>
    </w:p>
    <w:p w14:paraId="3162A49C" w14:textId="77777777" w:rsidR="00F42E53" w:rsidRDefault="002421D4">
      <w:pPr>
        <w:spacing w:after="0" w:line="259" w:lineRule="auto"/>
        <w:ind w:left="0" w:firstLine="0"/>
        <w:jc w:val="left"/>
      </w:pPr>
      <w:r>
        <w:rPr>
          <w:rFonts w:ascii="Calibri" w:eastAsia="Calibri" w:hAnsi="Calibri" w:cs="Calibri"/>
          <w:sz w:val="22"/>
        </w:rPr>
        <w:t xml:space="preserve"> </w:t>
      </w:r>
    </w:p>
    <w:p w14:paraId="3051B483" w14:textId="77777777" w:rsidR="00F42E53" w:rsidRDefault="002421D4">
      <w:pPr>
        <w:spacing w:after="179" w:line="259" w:lineRule="auto"/>
        <w:ind w:left="0" w:firstLine="0"/>
        <w:jc w:val="left"/>
      </w:pPr>
      <w:r>
        <w:rPr>
          <w:rFonts w:ascii="Calibri" w:eastAsia="Calibri" w:hAnsi="Calibri" w:cs="Calibri"/>
          <w:sz w:val="22"/>
        </w:rPr>
        <w:t xml:space="preserve"> </w:t>
      </w:r>
    </w:p>
    <w:p w14:paraId="4986D623" w14:textId="77777777" w:rsidR="00F42E53" w:rsidRDefault="002421D4">
      <w:pPr>
        <w:ind w:right="601"/>
      </w:pPr>
      <w:r>
        <w:t xml:space="preserve">United Kingdom, where: </w:t>
      </w:r>
    </w:p>
    <w:p w14:paraId="54D1E0AB" w14:textId="77777777" w:rsidR="00F42E53" w:rsidRDefault="002421D4">
      <w:pPr>
        <w:spacing w:after="34" w:line="259" w:lineRule="auto"/>
        <w:ind w:left="0" w:firstLine="0"/>
        <w:jc w:val="left"/>
      </w:pPr>
      <w:r>
        <w:t xml:space="preserve"> </w:t>
      </w:r>
    </w:p>
    <w:p w14:paraId="12A4E5CD" w14:textId="77777777" w:rsidR="00F42E53" w:rsidRDefault="002421D4">
      <w:pPr>
        <w:numPr>
          <w:ilvl w:val="0"/>
          <w:numId w:val="8"/>
        </w:numPr>
        <w:spacing w:after="45"/>
        <w:ind w:left="760" w:right="601" w:hanging="360"/>
      </w:pPr>
      <w:r>
        <w:t xml:space="preserve">the UK government has decided the particular country or international organisation ensures </w:t>
      </w:r>
      <w:r>
        <w:t xml:space="preserve">an adequate level of protection of personal data (known as an ‘Adequacy Decision’); </w:t>
      </w:r>
    </w:p>
    <w:p w14:paraId="5B10AF9B" w14:textId="77777777" w:rsidR="00F42E53" w:rsidRDefault="002421D4">
      <w:pPr>
        <w:numPr>
          <w:ilvl w:val="0"/>
          <w:numId w:val="8"/>
        </w:numPr>
        <w:spacing w:after="49"/>
        <w:ind w:left="760" w:right="601" w:hanging="360"/>
      </w:pPr>
      <w:r>
        <w:t xml:space="preserve">there are appropriate safeguards in place, together with enforceable rights and effective legal remedies for data subjects; or </w:t>
      </w:r>
    </w:p>
    <w:p w14:paraId="2A2DA7C0" w14:textId="77777777" w:rsidR="00F42E53" w:rsidRDefault="002421D4">
      <w:pPr>
        <w:numPr>
          <w:ilvl w:val="0"/>
          <w:numId w:val="8"/>
        </w:numPr>
        <w:ind w:left="760" w:right="601" w:hanging="360"/>
      </w:pPr>
      <w:r>
        <w:t xml:space="preserve">a specific exception applies under Data Protection Law. </w:t>
      </w:r>
    </w:p>
    <w:p w14:paraId="34892D71" w14:textId="77777777" w:rsidR="00F42E53" w:rsidRDefault="002421D4">
      <w:pPr>
        <w:spacing w:after="0" w:line="259" w:lineRule="auto"/>
        <w:ind w:left="0" w:firstLine="0"/>
        <w:jc w:val="left"/>
      </w:pPr>
      <w:r>
        <w:t xml:space="preserve"> </w:t>
      </w:r>
    </w:p>
    <w:p w14:paraId="0DA126D7" w14:textId="77777777" w:rsidR="00F42E53" w:rsidRDefault="002421D4">
      <w:pPr>
        <w:ind w:right="601"/>
      </w:pPr>
      <w:r>
        <w:t xml:space="preserve">These are explained below. </w:t>
      </w:r>
    </w:p>
    <w:p w14:paraId="7A5BB0F6" w14:textId="77777777" w:rsidR="00F42E53" w:rsidRDefault="002421D4">
      <w:pPr>
        <w:spacing w:after="0" w:line="259" w:lineRule="auto"/>
        <w:ind w:left="0" w:firstLine="0"/>
        <w:jc w:val="left"/>
      </w:pPr>
      <w:r>
        <w:t xml:space="preserve"> </w:t>
      </w:r>
    </w:p>
    <w:p w14:paraId="2AA0C9AD" w14:textId="77777777" w:rsidR="00F42E53" w:rsidRDefault="002421D4">
      <w:pPr>
        <w:pStyle w:val="Heading2"/>
        <w:ind w:left="62" w:right="0"/>
      </w:pPr>
      <w:r>
        <w:t xml:space="preserve">Adequacy Decisions </w:t>
      </w:r>
    </w:p>
    <w:p w14:paraId="7565B282" w14:textId="77777777" w:rsidR="00F42E53" w:rsidRDefault="002421D4">
      <w:pPr>
        <w:spacing w:after="0" w:line="259" w:lineRule="auto"/>
        <w:ind w:left="0" w:firstLine="0"/>
        <w:jc w:val="left"/>
      </w:pPr>
      <w:r>
        <w:rPr>
          <w:b/>
        </w:rPr>
        <w:t xml:space="preserve"> </w:t>
      </w:r>
    </w:p>
    <w:p w14:paraId="597E1C10" w14:textId="77777777" w:rsidR="00F42E53" w:rsidRDefault="002421D4">
      <w:pPr>
        <w:spacing w:after="281"/>
        <w:ind w:right="601"/>
      </w:pPr>
      <w:r>
        <w:t>We may transfer personal data to certain countries, on the basis of an</w:t>
      </w:r>
      <w:hyperlink r:id="rId38" w:anchor="Q1">
        <w:r>
          <w:t xml:space="preserve"> </w:t>
        </w:r>
      </w:hyperlink>
      <w:hyperlink r:id="rId39" w:anchor="Q1">
        <w:r>
          <w:rPr>
            <w:color w:val="0561C1"/>
            <w:u w:val="single" w:color="0561C1"/>
          </w:rPr>
          <w:t>Adequacy</w:t>
        </w:r>
      </w:hyperlink>
      <w:hyperlink r:id="rId40" w:anchor="Q1">
        <w:r>
          <w:rPr>
            <w:color w:val="0561C1"/>
            <w:u w:val="single" w:color="0561C1"/>
          </w:rPr>
          <w:t xml:space="preserve"> </w:t>
        </w:r>
      </w:hyperlink>
      <w:hyperlink r:id="rId41" w:anchor="Q1">
        <w:r>
          <w:rPr>
            <w:color w:val="0561C1"/>
            <w:u w:val="single" w:color="0561C1"/>
          </w:rPr>
          <w:t>Decision</w:t>
        </w:r>
      </w:hyperlink>
      <w:hyperlink r:id="rId42" w:anchor="Q1">
        <w:r>
          <w:t>.</w:t>
        </w:r>
      </w:hyperlink>
      <w:r>
        <w:t xml:space="preserve"> These include: </w:t>
      </w:r>
    </w:p>
    <w:p w14:paraId="56076EF3" w14:textId="77777777" w:rsidR="00F42E53" w:rsidRDefault="002421D4">
      <w:pPr>
        <w:numPr>
          <w:ilvl w:val="0"/>
          <w:numId w:val="9"/>
        </w:numPr>
        <w:ind w:right="601" w:hanging="363"/>
      </w:pPr>
      <w:r>
        <w:t xml:space="preserve">all European Union countries, plus Iceland, Liechtenstein and Norway (collectively known as the ‘EEA’); </w:t>
      </w:r>
    </w:p>
    <w:p w14:paraId="763831A6" w14:textId="77777777" w:rsidR="00F42E53" w:rsidRDefault="002421D4">
      <w:pPr>
        <w:numPr>
          <w:ilvl w:val="0"/>
          <w:numId w:val="9"/>
        </w:numPr>
        <w:ind w:right="601" w:hanging="363"/>
      </w:pPr>
      <w:r>
        <w:t xml:space="preserve">Gibraltar; </w:t>
      </w:r>
    </w:p>
    <w:p w14:paraId="64D5912F" w14:textId="77777777" w:rsidR="00F42E53" w:rsidRDefault="002421D4">
      <w:pPr>
        <w:numPr>
          <w:ilvl w:val="0"/>
          <w:numId w:val="9"/>
        </w:numPr>
        <w:ind w:right="601" w:hanging="363"/>
      </w:pPr>
      <w:r>
        <w:t xml:space="preserve">The Republic of Korea; and </w:t>
      </w:r>
    </w:p>
    <w:p w14:paraId="702F96DB" w14:textId="77777777" w:rsidR="00F42E53" w:rsidRDefault="002421D4">
      <w:pPr>
        <w:numPr>
          <w:ilvl w:val="0"/>
          <w:numId w:val="9"/>
        </w:numPr>
        <w:spacing w:after="89"/>
        <w:ind w:right="601" w:hanging="363"/>
      </w:pPr>
      <w:r>
        <w:t xml:space="preserve">Andorra, Argentina, Canada, Faroe Islands, Guernsey, Israel, Isle of Man, Japan, Jersey, New Zealand, Switzerland and Uruguay. </w:t>
      </w:r>
    </w:p>
    <w:p w14:paraId="6CBB4724" w14:textId="77777777" w:rsidR="00F42E53" w:rsidRDefault="002421D4">
      <w:pPr>
        <w:ind w:left="58" w:right="601"/>
      </w:pPr>
      <w:r>
        <w:t xml:space="preserve">The list of countries that benefit from Adequacy Decisions will change from time to time. We </w:t>
      </w:r>
      <w:r>
        <w:t xml:space="preserve">will always seek to rely on an Adequacy Decision, where one exists. </w:t>
      </w:r>
    </w:p>
    <w:p w14:paraId="67A52C62" w14:textId="77777777" w:rsidR="00F42E53" w:rsidRDefault="002421D4">
      <w:pPr>
        <w:spacing w:after="0" w:line="259" w:lineRule="auto"/>
        <w:ind w:left="0" w:firstLine="0"/>
        <w:jc w:val="left"/>
      </w:pPr>
      <w:r>
        <w:t xml:space="preserve"> </w:t>
      </w:r>
    </w:p>
    <w:p w14:paraId="46A492A1" w14:textId="77777777" w:rsidR="00F42E53" w:rsidRDefault="002421D4">
      <w:pPr>
        <w:spacing w:line="244" w:lineRule="auto"/>
        <w:ind w:left="48" w:right="629"/>
        <w:jc w:val="left"/>
      </w:pPr>
      <w:r>
        <w:t xml:space="preserve">Other countries or international organisations we are likely to transfer personal data to do may not have the benefit of an Adequacy Decision. This does not necessarily mean they provide poor protection for personal data, but we must look at alternative grounds for transferring the personal data, such as ensuring appropriate safeguards are in place or relying on an exception, as explained below. </w:t>
      </w:r>
    </w:p>
    <w:p w14:paraId="3299FAF6" w14:textId="77777777" w:rsidR="00F42E53" w:rsidRDefault="002421D4">
      <w:pPr>
        <w:spacing w:after="0" w:line="259" w:lineRule="auto"/>
        <w:ind w:left="0" w:firstLine="0"/>
        <w:jc w:val="left"/>
      </w:pPr>
      <w:r>
        <w:t xml:space="preserve"> </w:t>
      </w:r>
    </w:p>
    <w:p w14:paraId="583D8C5A" w14:textId="77777777" w:rsidR="00F42E53" w:rsidRDefault="002421D4">
      <w:pPr>
        <w:pStyle w:val="Heading2"/>
        <w:ind w:left="62" w:right="0"/>
      </w:pPr>
      <w:r>
        <w:t xml:space="preserve">Transfers with appropriate safeguards </w:t>
      </w:r>
    </w:p>
    <w:p w14:paraId="4C3E427E" w14:textId="77777777" w:rsidR="00F42E53" w:rsidRDefault="002421D4">
      <w:pPr>
        <w:spacing w:after="0" w:line="259" w:lineRule="auto"/>
        <w:ind w:left="0" w:firstLine="0"/>
        <w:jc w:val="left"/>
      </w:pPr>
      <w:r>
        <w:rPr>
          <w:b/>
        </w:rPr>
        <w:t xml:space="preserve"> </w:t>
      </w:r>
    </w:p>
    <w:p w14:paraId="0B89C7E6" w14:textId="77777777" w:rsidR="00F42E53" w:rsidRDefault="002421D4">
      <w:pPr>
        <w:ind w:right="601"/>
      </w:pPr>
      <w:r>
        <w:lastRenderedPageBreak/>
        <w:t xml:space="preserve">Where there is no Adequacy Decision, we may transfer personal data to another country or international organisation if we are satisfied the transfer complies with Data Protection Law, appropriate safeguards are in place, and enforceable rights and effective legal remedies are available for data subjects. </w:t>
      </w:r>
    </w:p>
    <w:p w14:paraId="3FC67A27" w14:textId="77777777" w:rsidR="00F42E53" w:rsidRDefault="002421D4">
      <w:pPr>
        <w:spacing w:after="0" w:line="259" w:lineRule="auto"/>
        <w:ind w:left="0" w:firstLine="0"/>
        <w:jc w:val="left"/>
      </w:pPr>
      <w:r>
        <w:t xml:space="preserve"> </w:t>
      </w:r>
    </w:p>
    <w:p w14:paraId="3C48FB77" w14:textId="77777777" w:rsidR="00F42E53" w:rsidRDefault="002421D4">
      <w:pPr>
        <w:ind w:right="601"/>
      </w:pPr>
      <w:r>
        <w:t xml:space="preserve">The safeguards will usually include using legally approved standard data protection contract clauses. </w:t>
      </w:r>
    </w:p>
    <w:p w14:paraId="56E3E124" w14:textId="77777777" w:rsidR="00F42E53" w:rsidRDefault="002421D4">
      <w:pPr>
        <w:spacing w:after="0" w:line="259" w:lineRule="auto"/>
        <w:ind w:left="0" w:firstLine="0"/>
        <w:jc w:val="left"/>
      </w:pPr>
      <w:r>
        <w:t xml:space="preserve"> </w:t>
      </w:r>
    </w:p>
    <w:p w14:paraId="7F4104E8" w14:textId="77777777" w:rsidR="00F42E53" w:rsidRDefault="002421D4">
      <w:pPr>
        <w:ind w:right="601"/>
      </w:pPr>
      <w:r>
        <w:t xml:space="preserve">To obtain a copy of the standard data protection contract clauses and further information about relevant safeguards, please contact the Data Protection Officer. </w:t>
      </w:r>
    </w:p>
    <w:p w14:paraId="7C662885" w14:textId="77777777" w:rsidR="00F42E53" w:rsidRDefault="002421D4">
      <w:pPr>
        <w:spacing w:after="0" w:line="259" w:lineRule="auto"/>
        <w:ind w:left="0" w:firstLine="0"/>
        <w:jc w:val="left"/>
      </w:pPr>
      <w:r>
        <w:t xml:space="preserve"> </w:t>
      </w:r>
    </w:p>
    <w:p w14:paraId="762D7A69" w14:textId="77777777" w:rsidR="00F42E53" w:rsidRDefault="002421D4">
      <w:pPr>
        <w:pStyle w:val="Heading2"/>
        <w:ind w:left="62" w:right="0"/>
      </w:pPr>
      <w:r>
        <w:t xml:space="preserve">Transfers under an exception </w:t>
      </w:r>
    </w:p>
    <w:p w14:paraId="49BE1757" w14:textId="77777777" w:rsidR="00F42E53" w:rsidRDefault="002421D4">
      <w:pPr>
        <w:spacing w:after="0" w:line="259" w:lineRule="auto"/>
        <w:ind w:left="0" w:firstLine="0"/>
        <w:jc w:val="left"/>
      </w:pPr>
      <w:r>
        <w:rPr>
          <w:b/>
        </w:rPr>
        <w:t xml:space="preserve"> </w:t>
      </w:r>
    </w:p>
    <w:p w14:paraId="1C922E90" w14:textId="77777777" w:rsidR="00F42E53" w:rsidRDefault="002421D4">
      <w:pPr>
        <w:spacing w:after="281"/>
        <w:ind w:right="601"/>
      </w:pPr>
      <w:r>
        <w:t xml:space="preserve">In the absence of an Adequacy Decision or appropriate safeguards, we may transfer personal data toa third country or international organisation where an exception applies under relevant Data Protection Law, e.g: </w:t>
      </w:r>
    </w:p>
    <w:p w14:paraId="2F110881" w14:textId="77777777" w:rsidR="00F42E53" w:rsidRDefault="002421D4">
      <w:pPr>
        <w:numPr>
          <w:ilvl w:val="0"/>
          <w:numId w:val="10"/>
        </w:numPr>
        <w:ind w:right="601" w:hanging="363"/>
      </w:pPr>
      <w:r>
        <w:t xml:space="preserve">you have explicitly consented to the proposed transfer after having been informed of the possible risks; </w:t>
      </w:r>
    </w:p>
    <w:p w14:paraId="3B800D90" w14:textId="77777777" w:rsidR="00F42E53" w:rsidRDefault="002421D4">
      <w:pPr>
        <w:numPr>
          <w:ilvl w:val="0"/>
          <w:numId w:val="10"/>
        </w:numPr>
        <w:ind w:right="601" w:hanging="363"/>
      </w:pPr>
      <w:r>
        <w:t xml:space="preserve">he transfer is necessary for the performance of a contract between us or to take pre-contract </w:t>
      </w:r>
    </w:p>
    <w:p w14:paraId="3A9518D7" w14:textId="77777777" w:rsidR="00F42E53" w:rsidRDefault="002421D4">
      <w:pPr>
        <w:spacing w:after="0" w:line="259" w:lineRule="auto"/>
        <w:ind w:left="0" w:firstLine="0"/>
        <w:jc w:val="left"/>
      </w:pPr>
      <w:r>
        <w:rPr>
          <w:rFonts w:ascii="Calibri" w:eastAsia="Calibri" w:hAnsi="Calibri" w:cs="Calibri"/>
          <w:sz w:val="22"/>
        </w:rPr>
        <w:t xml:space="preserve"> </w:t>
      </w:r>
    </w:p>
    <w:p w14:paraId="04E6CD8C" w14:textId="77777777" w:rsidR="00F42E53" w:rsidRDefault="002421D4">
      <w:pPr>
        <w:spacing w:after="0" w:line="259" w:lineRule="auto"/>
        <w:ind w:left="0" w:firstLine="0"/>
        <w:jc w:val="left"/>
      </w:pPr>
      <w:r>
        <w:rPr>
          <w:rFonts w:ascii="Calibri" w:eastAsia="Calibri" w:hAnsi="Calibri" w:cs="Calibri"/>
          <w:sz w:val="22"/>
        </w:rPr>
        <w:t xml:space="preserve"> </w:t>
      </w:r>
    </w:p>
    <w:p w14:paraId="25681461" w14:textId="77777777" w:rsidR="00F42E53" w:rsidRDefault="002421D4">
      <w:pPr>
        <w:spacing w:after="0" w:line="259" w:lineRule="auto"/>
        <w:ind w:left="0" w:firstLine="0"/>
        <w:jc w:val="left"/>
      </w:pPr>
      <w:r>
        <w:rPr>
          <w:rFonts w:ascii="Calibri" w:eastAsia="Calibri" w:hAnsi="Calibri" w:cs="Calibri"/>
          <w:sz w:val="22"/>
        </w:rPr>
        <w:t xml:space="preserve"> </w:t>
      </w:r>
    </w:p>
    <w:p w14:paraId="24E2A0A3" w14:textId="77777777" w:rsidR="00F42E53" w:rsidRDefault="002421D4">
      <w:pPr>
        <w:spacing w:after="0" w:line="259" w:lineRule="auto"/>
        <w:ind w:left="0" w:firstLine="0"/>
        <w:jc w:val="left"/>
      </w:pPr>
      <w:r>
        <w:rPr>
          <w:rFonts w:ascii="Calibri" w:eastAsia="Calibri" w:hAnsi="Calibri" w:cs="Calibri"/>
          <w:sz w:val="22"/>
        </w:rPr>
        <w:t xml:space="preserve"> </w:t>
      </w:r>
    </w:p>
    <w:p w14:paraId="25394710" w14:textId="77777777" w:rsidR="00F42E53" w:rsidRDefault="002421D4">
      <w:pPr>
        <w:spacing w:after="0" w:line="259" w:lineRule="auto"/>
        <w:ind w:left="0" w:firstLine="0"/>
        <w:jc w:val="left"/>
      </w:pPr>
      <w:r>
        <w:rPr>
          <w:rFonts w:ascii="Calibri" w:eastAsia="Calibri" w:hAnsi="Calibri" w:cs="Calibri"/>
          <w:sz w:val="22"/>
        </w:rPr>
        <w:t xml:space="preserve"> </w:t>
      </w:r>
    </w:p>
    <w:p w14:paraId="2167ECFB" w14:textId="77777777" w:rsidR="00F42E53" w:rsidRDefault="002421D4">
      <w:pPr>
        <w:spacing w:after="190" w:line="259" w:lineRule="auto"/>
        <w:ind w:left="0" w:firstLine="0"/>
        <w:jc w:val="left"/>
      </w:pPr>
      <w:r>
        <w:rPr>
          <w:rFonts w:ascii="Calibri" w:eastAsia="Calibri" w:hAnsi="Calibri" w:cs="Calibri"/>
          <w:sz w:val="22"/>
        </w:rPr>
        <w:t xml:space="preserve"> </w:t>
      </w:r>
    </w:p>
    <w:p w14:paraId="2AFB2D8E" w14:textId="77777777" w:rsidR="00F42E53" w:rsidRDefault="002421D4">
      <w:pPr>
        <w:spacing w:after="29"/>
        <w:ind w:left="781" w:right="601"/>
      </w:pPr>
      <w:r>
        <w:t xml:space="preserve">measures at a data subject’s request; </w:t>
      </w:r>
    </w:p>
    <w:p w14:paraId="010F684C" w14:textId="77777777" w:rsidR="00F42E53" w:rsidRDefault="002421D4">
      <w:pPr>
        <w:numPr>
          <w:ilvl w:val="0"/>
          <w:numId w:val="10"/>
        </w:numPr>
        <w:ind w:right="601" w:hanging="363"/>
      </w:pPr>
      <w:r>
        <w:t xml:space="preserve">the transfer is necessary for a contract in data subject interests, between us and another person; or </w:t>
      </w:r>
      <w:r>
        <w:rPr>
          <w:rFonts w:ascii="Segoe UI Symbol" w:eastAsia="Segoe UI Symbol" w:hAnsi="Segoe UI Symbol" w:cs="Segoe UI Symbol"/>
          <w:sz w:val="22"/>
        </w:rPr>
        <w:t>•</w:t>
      </w:r>
      <w:r>
        <w:rPr>
          <w:sz w:val="22"/>
        </w:rPr>
        <w:t xml:space="preserve"> </w:t>
      </w:r>
      <w:r>
        <w:rPr>
          <w:sz w:val="22"/>
        </w:rPr>
        <w:tab/>
      </w:r>
      <w:r>
        <w:t xml:space="preserve">the transfer is necessary to establish, exercise or defend legal claims </w:t>
      </w:r>
    </w:p>
    <w:p w14:paraId="4720D891" w14:textId="77777777" w:rsidR="00F42E53" w:rsidRDefault="002421D4">
      <w:pPr>
        <w:spacing w:after="0" w:line="259" w:lineRule="auto"/>
        <w:ind w:left="0" w:firstLine="0"/>
        <w:jc w:val="left"/>
      </w:pPr>
      <w:r>
        <w:t xml:space="preserve"> </w:t>
      </w:r>
    </w:p>
    <w:p w14:paraId="52210BEA" w14:textId="77777777" w:rsidR="00F42E53" w:rsidRDefault="002421D4">
      <w:pPr>
        <w:ind w:right="601"/>
      </w:pPr>
      <w:r>
        <w:t xml:space="preserve">We may also </w:t>
      </w:r>
      <w:r>
        <w:t xml:space="preserve">transfer information for the purpose of our compelling legitimate interests, as long as those interests are not overridden by data subject interests, rights and freedoms. Specific conditions apply to such transfers and we will provide relevant information if and when we seek to transfer personal data on this ground. </w:t>
      </w:r>
    </w:p>
    <w:p w14:paraId="58D3021F" w14:textId="77777777" w:rsidR="00F42E53" w:rsidRDefault="002421D4">
      <w:pPr>
        <w:spacing w:after="0" w:line="259" w:lineRule="auto"/>
        <w:ind w:left="0" w:firstLine="0"/>
        <w:jc w:val="left"/>
      </w:pPr>
      <w:r>
        <w:t xml:space="preserve"> </w:t>
      </w:r>
    </w:p>
    <w:p w14:paraId="3205519A" w14:textId="77777777" w:rsidR="00F42E53" w:rsidRDefault="002421D4">
      <w:pPr>
        <w:spacing w:after="20" w:line="259" w:lineRule="auto"/>
        <w:ind w:left="0" w:firstLine="0"/>
        <w:jc w:val="left"/>
      </w:pPr>
      <w:r>
        <w:t xml:space="preserve"> </w:t>
      </w:r>
    </w:p>
    <w:p w14:paraId="111861D5" w14:textId="77777777" w:rsidR="00F42E53" w:rsidRDefault="002421D4">
      <w:pPr>
        <w:pStyle w:val="Heading1"/>
        <w:tabs>
          <w:tab w:val="center" w:pos="2402"/>
        </w:tabs>
        <w:ind w:left="0" w:right="0" w:firstLine="0"/>
      </w:pPr>
      <w:bookmarkStart w:id="7" w:name="_Toc33374"/>
      <w:r>
        <w:rPr>
          <w:sz w:val="22"/>
        </w:rPr>
        <w:t xml:space="preserve">8.0 </w:t>
      </w:r>
      <w:r>
        <w:rPr>
          <w:sz w:val="22"/>
        </w:rPr>
        <w:tab/>
      </w:r>
      <w:r>
        <w:t xml:space="preserve">SUBJECT ACCESS REQUESTS </w:t>
      </w:r>
      <w:bookmarkEnd w:id="7"/>
    </w:p>
    <w:p w14:paraId="6F6DD688" w14:textId="77777777" w:rsidR="00F42E53" w:rsidRDefault="002421D4">
      <w:pPr>
        <w:spacing w:after="0" w:line="259" w:lineRule="auto"/>
        <w:ind w:left="0" w:firstLine="0"/>
        <w:jc w:val="left"/>
      </w:pPr>
      <w:r>
        <w:rPr>
          <w:b/>
        </w:rPr>
        <w:t xml:space="preserve"> </w:t>
      </w:r>
    </w:p>
    <w:p w14:paraId="63CC1B69" w14:textId="77777777" w:rsidR="00F42E53" w:rsidRDefault="002421D4">
      <w:pPr>
        <w:spacing w:after="259"/>
        <w:ind w:right="601"/>
      </w:pPr>
      <w:r>
        <w:t xml:space="preserve">Individuals have a right to make a ‘subject access request’ to gain access to their personal information that we process. This includes: </w:t>
      </w:r>
    </w:p>
    <w:p w14:paraId="28447CAA" w14:textId="77777777" w:rsidR="00F42E53" w:rsidRDefault="002421D4">
      <w:pPr>
        <w:numPr>
          <w:ilvl w:val="0"/>
          <w:numId w:val="11"/>
        </w:numPr>
        <w:ind w:right="601" w:hanging="363"/>
      </w:pPr>
      <w:r>
        <w:t xml:space="preserve">Confirmation that their personal data is being processed </w:t>
      </w:r>
    </w:p>
    <w:p w14:paraId="666F405A" w14:textId="77777777" w:rsidR="00F42E53" w:rsidRDefault="002421D4">
      <w:pPr>
        <w:numPr>
          <w:ilvl w:val="0"/>
          <w:numId w:val="11"/>
        </w:numPr>
        <w:ind w:right="601" w:hanging="363"/>
      </w:pPr>
      <w:r>
        <w:t xml:space="preserve">Access to a copy of the data </w:t>
      </w:r>
    </w:p>
    <w:p w14:paraId="5504982F" w14:textId="77777777" w:rsidR="00F42E53" w:rsidRDefault="002421D4">
      <w:pPr>
        <w:numPr>
          <w:ilvl w:val="0"/>
          <w:numId w:val="11"/>
        </w:numPr>
        <w:ind w:right="601" w:hanging="363"/>
      </w:pPr>
      <w:r>
        <w:t xml:space="preserve">The purposes of the data processing </w:t>
      </w:r>
    </w:p>
    <w:p w14:paraId="2C4F1499" w14:textId="77777777" w:rsidR="00F42E53" w:rsidRDefault="002421D4">
      <w:pPr>
        <w:numPr>
          <w:ilvl w:val="0"/>
          <w:numId w:val="11"/>
        </w:numPr>
        <w:ind w:right="601" w:hanging="363"/>
      </w:pPr>
      <w:r>
        <w:t xml:space="preserve">The categories of personal data concerned </w:t>
      </w:r>
    </w:p>
    <w:p w14:paraId="70D5FD08" w14:textId="77777777" w:rsidR="00F42E53" w:rsidRDefault="002421D4">
      <w:pPr>
        <w:numPr>
          <w:ilvl w:val="0"/>
          <w:numId w:val="11"/>
        </w:numPr>
        <w:ind w:right="601" w:hanging="363"/>
      </w:pPr>
      <w:r>
        <w:t xml:space="preserve">Who the data has been, or will be, shared with </w:t>
      </w:r>
    </w:p>
    <w:p w14:paraId="5C5918BC" w14:textId="77777777" w:rsidR="00F42E53" w:rsidRDefault="002421D4">
      <w:pPr>
        <w:numPr>
          <w:ilvl w:val="0"/>
          <w:numId w:val="11"/>
        </w:numPr>
        <w:ind w:right="601" w:hanging="363"/>
      </w:pPr>
      <w:r>
        <w:t xml:space="preserve">How long the data will be stored for, or if this isn’t </w:t>
      </w:r>
      <w:r>
        <w:t xml:space="preserve">possible, the criteria used to determine this period </w:t>
      </w:r>
    </w:p>
    <w:p w14:paraId="6116D5D0" w14:textId="77777777" w:rsidR="00F42E53" w:rsidRDefault="002421D4">
      <w:pPr>
        <w:numPr>
          <w:ilvl w:val="0"/>
          <w:numId w:val="11"/>
        </w:numPr>
        <w:ind w:right="601" w:hanging="363"/>
      </w:pPr>
      <w:r>
        <w:t xml:space="preserve">The source of the data, if not the individual </w:t>
      </w:r>
    </w:p>
    <w:p w14:paraId="44156D85" w14:textId="77777777" w:rsidR="00F42E53" w:rsidRDefault="002421D4">
      <w:pPr>
        <w:numPr>
          <w:ilvl w:val="0"/>
          <w:numId w:val="11"/>
        </w:numPr>
        <w:spacing w:after="146"/>
        <w:ind w:right="601" w:hanging="363"/>
      </w:pPr>
      <w:r>
        <w:t xml:space="preserve">Whether any automated decision-making is being applied to their data, and what the significance and consequences of this might be for the individual </w:t>
      </w:r>
    </w:p>
    <w:p w14:paraId="051762CF" w14:textId="77777777" w:rsidR="00F42E53" w:rsidRDefault="002421D4">
      <w:pPr>
        <w:spacing w:after="130"/>
        <w:ind w:right="729"/>
      </w:pPr>
      <w:r>
        <w:t xml:space="preserve">Subject Access Requests can be made in any format to any member of staff. The request does not need to mention the words 'Subject Access Request' and any request for information should be logged on Info Exchange within 24 hours or to the Data Protection Team in the event Info Exchange is not working. You should provide the following information: </w:t>
      </w:r>
    </w:p>
    <w:p w14:paraId="6D364A5B" w14:textId="77777777" w:rsidR="00F42E53" w:rsidRDefault="002421D4">
      <w:pPr>
        <w:numPr>
          <w:ilvl w:val="0"/>
          <w:numId w:val="11"/>
        </w:numPr>
        <w:ind w:right="601" w:hanging="363"/>
      </w:pPr>
      <w:r>
        <w:lastRenderedPageBreak/>
        <w:t xml:space="preserve">Name of individual (and subject, if made on their behalf) </w:t>
      </w:r>
    </w:p>
    <w:p w14:paraId="56CF76E0" w14:textId="77777777" w:rsidR="00F42E53" w:rsidRDefault="002421D4">
      <w:pPr>
        <w:numPr>
          <w:ilvl w:val="0"/>
          <w:numId w:val="11"/>
        </w:numPr>
        <w:ind w:right="601" w:hanging="363"/>
      </w:pPr>
      <w:r>
        <w:t xml:space="preserve">Correspondence addressContact number and email address </w:t>
      </w:r>
    </w:p>
    <w:p w14:paraId="701045EA" w14:textId="77777777" w:rsidR="00F42E53" w:rsidRDefault="002421D4">
      <w:pPr>
        <w:numPr>
          <w:ilvl w:val="0"/>
          <w:numId w:val="11"/>
        </w:numPr>
        <w:spacing w:after="78"/>
        <w:ind w:right="601" w:hanging="363"/>
      </w:pPr>
      <w:r>
        <w:t xml:space="preserve">Details of the information requested </w:t>
      </w:r>
    </w:p>
    <w:p w14:paraId="3B571A58" w14:textId="77777777" w:rsidR="00F42E53" w:rsidRDefault="002421D4">
      <w:pPr>
        <w:spacing w:after="0" w:line="259" w:lineRule="auto"/>
        <w:ind w:left="0" w:firstLine="0"/>
        <w:jc w:val="left"/>
      </w:pPr>
      <w:r>
        <w:t xml:space="preserve"> </w:t>
      </w:r>
    </w:p>
    <w:p w14:paraId="179A7105" w14:textId="77777777" w:rsidR="00F42E53" w:rsidRDefault="002421D4">
      <w:pPr>
        <w:ind w:right="690"/>
      </w:pPr>
      <w:r>
        <w:t xml:space="preserve">Staff must follow the guidance set out in the </w:t>
      </w:r>
      <w:r>
        <w:rPr>
          <w:i/>
          <w:color w:val="04926C"/>
        </w:rPr>
        <w:t>Data Subject Access Request Procedure</w:t>
      </w:r>
      <w:r>
        <w:t xml:space="preserve">, but if they receive a request which is not capable of being processed following this guidance, or which contains any anomalies, they must immediately forward it to the Data Protection Team – but only in exceptional circumstances. </w:t>
      </w:r>
    </w:p>
    <w:p w14:paraId="1AEE987F" w14:textId="77777777" w:rsidR="00F42E53" w:rsidRDefault="002421D4">
      <w:pPr>
        <w:spacing w:after="0" w:line="259" w:lineRule="auto"/>
        <w:ind w:left="0" w:firstLine="0"/>
        <w:jc w:val="left"/>
      </w:pPr>
      <w:r>
        <w:t xml:space="preserve"> </w:t>
      </w:r>
    </w:p>
    <w:p w14:paraId="4E5D0525" w14:textId="77777777" w:rsidR="00F42E53" w:rsidRDefault="002421D4">
      <w:pPr>
        <w:spacing w:line="244" w:lineRule="auto"/>
        <w:ind w:left="48" w:right="489"/>
        <w:jc w:val="left"/>
      </w:pPr>
      <w:r>
        <w:t xml:space="preserve">Subject access requests are subject to exemptions, which may be applied following appropriate assessment of the request, and the data collated. These exemptions are handled by the Data Protection Team, who will keep a record of any exemptions used. </w:t>
      </w:r>
    </w:p>
    <w:p w14:paraId="619B4171" w14:textId="77777777" w:rsidR="00F42E53" w:rsidRDefault="002421D4">
      <w:pPr>
        <w:pStyle w:val="Heading2"/>
        <w:ind w:left="62" w:right="0"/>
      </w:pPr>
      <w:r>
        <w:t xml:space="preserve">Other data protection rights of the individual </w:t>
      </w:r>
    </w:p>
    <w:p w14:paraId="1C2A8690" w14:textId="77777777" w:rsidR="00F42E53" w:rsidRDefault="002421D4">
      <w:pPr>
        <w:spacing w:after="0" w:line="259" w:lineRule="auto"/>
        <w:ind w:left="0" w:firstLine="0"/>
        <w:jc w:val="left"/>
      </w:pPr>
      <w:r>
        <w:rPr>
          <w:b/>
        </w:rPr>
        <w:t xml:space="preserve"> </w:t>
      </w:r>
    </w:p>
    <w:p w14:paraId="2678F51E" w14:textId="77777777" w:rsidR="00F42E53" w:rsidRDefault="002421D4">
      <w:pPr>
        <w:spacing w:after="278"/>
        <w:ind w:left="53" w:right="601" w:firstLine="62"/>
      </w:pPr>
      <w:r>
        <w:t xml:space="preserve">In addition to the right to make a subject access request and to receive information outlined in privacy notices, individuals also have the right to: </w:t>
      </w:r>
    </w:p>
    <w:p w14:paraId="09603939" w14:textId="77777777" w:rsidR="00F42E53" w:rsidRDefault="002421D4">
      <w:pPr>
        <w:numPr>
          <w:ilvl w:val="0"/>
          <w:numId w:val="12"/>
        </w:numPr>
        <w:ind w:right="601" w:hanging="363"/>
      </w:pPr>
      <w:r>
        <w:t xml:space="preserve">Withdraw their consent to processing at any time </w:t>
      </w:r>
    </w:p>
    <w:p w14:paraId="4B7FF176" w14:textId="77777777" w:rsidR="00F42E53" w:rsidRDefault="002421D4">
      <w:pPr>
        <w:numPr>
          <w:ilvl w:val="0"/>
          <w:numId w:val="12"/>
        </w:numPr>
        <w:ind w:right="601" w:hanging="363"/>
      </w:pPr>
      <w:r>
        <w:t xml:space="preserve">Ask us to rectify, erase or restrict processing of their personal data, or object to the processing of it (in certain circumstances) </w:t>
      </w:r>
    </w:p>
    <w:p w14:paraId="065F06B9" w14:textId="77777777" w:rsidR="00F42E53" w:rsidRDefault="002421D4">
      <w:pPr>
        <w:numPr>
          <w:ilvl w:val="0"/>
          <w:numId w:val="12"/>
        </w:numPr>
        <w:ind w:right="601" w:hanging="363"/>
      </w:pPr>
      <w:r>
        <w:t xml:space="preserve">Prevent use of their personal data for direct marketing </w:t>
      </w:r>
    </w:p>
    <w:p w14:paraId="0691AC4B" w14:textId="77777777" w:rsidR="00F42E53" w:rsidRDefault="002421D4">
      <w:pPr>
        <w:spacing w:after="0" w:line="259" w:lineRule="auto"/>
        <w:ind w:left="0" w:firstLine="0"/>
        <w:jc w:val="left"/>
      </w:pPr>
      <w:r>
        <w:t xml:space="preserve"> </w:t>
      </w:r>
    </w:p>
    <w:p w14:paraId="1D8B7EDB" w14:textId="77777777" w:rsidR="00F42E53" w:rsidRDefault="002421D4">
      <w:pPr>
        <w:spacing w:after="0" w:line="259" w:lineRule="auto"/>
        <w:ind w:left="0" w:firstLine="0"/>
        <w:jc w:val="left"/>
      </w:pPr>
      <w:r>
        <w:t xml:space="preserve"> </w:t>
      </w:r>
    </w:p>
    <w:p w14:paraId="0B8E6796" w14:textId="77777777" w:rsidR="00F42E53" w:rsidRDefault="002421D4">
      <w:pPr>
        <w:spacing w:after="0" w:line="259" w:lineRule="auto"/>
        <w:ind w:left="0" w:firstLine="0"/>
        <w:jc w:val="left"/>
      </w:pPr>
      <w:r>
        <w:t xml:space="preserve"> </w:t>
      </w:r>
    </w:p>
    <w:p w14:paraId="712898AA" w14:textId="77777777" w:rsidR="00F42E53" w:rsidRDefault="002421D4">
      <w:pPr>
        <w:spacing w:after="0" w:line="259" w:lineRule="auto"/>
        <w:ind w:left="0" w:firstLine="0"/>
        <w:jc w:val="left"/>
      </w:pPr>
      <w:r>
        <w:t xml:space="preserve"> </w:t>
      </w:r>
    </w:p>
    <w:p w14:paraId="3D75B449" w14:textId="77777777" w:rsidR="00F42E53" w:rsidRDefault="002421D4">
      <w:pPr>
        <w:spacing w:after="243" w:line="259" w:lineRule="auto"/>
        <w:ind w:left="0" w:firstLine="0"/>
        <w:jc w:val="left"/>
      </w:pPr>
      <w:r>
        <w:t xml:space="preserve"> </w:t>
      </w:r>
    </w:p>
    <w:p w14:paraId="6792182D" w14:textId="77777777" w:rsidR="00F42E53" w:rsidRDefault="002421D4">
      <w:pPr>
        <w:numPr>
          <w:ilvl w:val="0"/>
          <w:numId w:val="12"/>
        </w:numPr>
        <w:ind w:right="601" w:hanging="363"/>
      </w:pPr>
      <w:r>
        <w:t xml:space="preserve">Challenge processing which has been justified on the basis of public interest </w:t>
      </w:r>
    </w:p>
    <w:p w14:paraId="6AB6775F" w14:textId="77777777" w:rsidR="00F42E53" w:rsidRDefault="002421D4">
      <w:pPr>
        <w:numPr>
          <w:ilvl w:val="0"/>
          <w:numId w:val="12"/>
        </w:numPr>
        <w:spacing w:after="55"/>
        <w:ind w:right="601" w:hanging="363"/>
      </w:pPr>
      <w:r>
        <w:t xml:space="preserve">Request a copy of agreements under which their personal data is transferred outside of the United Kingdom </w:t>
      </w:r>
    </w:p>
    <w:p w14:paraId="750E6F78" w14:textId="77777777" w:rsidR="00F42E53" w:rsidRDefault="002421D4">
      <w:pPr>
        <w:numPr>
          <w:ilvl w:val="0"/>
          <w:numId w:val="12"/>
        </w:numPr>
        <w:ind w:right="601" w:hanging="363"/>
      </w:pPr>
      <w:r>
        <w:t xml:space="preserve">Object to decisions based solely on automated decision making or profiling (decisions taken with no human involvement, that might negatively affect them) </w:t>
      </w:r>
    </w:p>
    <w:p w14:paraId="45D74761" w14:textId="77777777" w:rsidR="00F42E53" w:rsidRDefault="002421D4">
      <w:pPr>
        <w:numPr>
          <w:ilvl w:val="0"/>
          <w:numId w:val="12"/>
        </w:numPr>
        <w:ind w:right="601" w:hanging="363"/>
      </w:pPr>
      <w:r>
        <w:t xml:space="preserve">Prevent processing that is likely to cause damage or distress </w:t>
      </w:r>
    </w:p>
    <w:p w14:paraId="6EDA2695" w14:textId="77777777" w:rsidR="00F42E53" w:rsidRDefault="002421D4">
      <w:pPr>
        <w:numPr>
          <w:ilvl w:val="0"/>
          <w:numId w:val="12"/>
        </w:numPr>
        <w:ind w:right="601" w:hanging="363"/>
      </w:pPr>
      <w:r>
        <w:t xml:space="preserve">Be notified of a data breach in certain circumstances </w:t>
      </w:r>
    </w:p>
    <w:p w14:paraId="420713DF" w14:textId="77777777" w:rsidR="00F42E53" w:rsidRDefault="002421D4">
      <w:pPr>
        <w:numPr>
          <w:ilvl w:val="0"/>
          <w:numId w:val="12"/>
        </w:numPr>
        <w:ind w:right="601" w:hanging="363"/>
      </w:pPr>
      <w:r>
        <w:t xml:space="preserve">Make a complaint to the ICO </w:t>
      </w:r>
    </w:p>
    <w:p w14:paraId="249221AA" w14:textId="77777777" w:rsidR="00F42E53" w:rsidRDefault="002421D4">
      <w:pPr>
        <w:numPr>
          <w:ilvl w:val="0"/>
          <w:numId w:val="12"/>
        </w:numPr>
        <w:ind w:right="601" w:hanging="363"/>
      </w:pPr>
      <w:r>
        <w:t xml:space="preserve">Ask for their </w:t>
      </w:r>
      <w:r>
        <w:t xml:space="preserve">personal data to be transferred to a third party in a structured, commonly used and machine- readable format (in certain circumstances) </w:t>
      </w:r>
    </w:p>
    <w:p w14:paraId="15222D75" w14:textId="77777777" w:rsidR="00F42E53" w:rsidRDefault="002421D4">
      <w:pPr>
        <w:spacing w:after="0" w:line="259" w:lineRule="auto"/>
        <w:ind w:left="0" w:firstLine="0"/>
        <w:jc w:val="left"/>
      </w:pPr>
      <w:r>
        <w:t xml:space="preserve"> </w:t>
      </w:r>
    </w:p>
    <w:p w14:paraId="5B36ABE8" w14:textId="77777777" w:rsidR="00F42E53" w:rsidRDefault="002421D4">
      <w:pPr>
        <w:spacing w:after="93"/>
        <w:ind w:left="63" w:right="733"/>
      </w:pPr>
      <w:r>
        <w:t xml:space="preserve">Individuals should submit any request to exercise these rights to the service’s Registered Manager or Headteacher who will forward this to the Data Protection Team. If staff receive such a request, they must immediately forward it to the Data Protection Team and report via Info Exchange. </w:t>
      </w:r>
    </w:p>
    <w:p w14:paraId="5B6DCB48" w14:textId="77777777" w:rsidR="00F42E53" w:rsidRDefault="002421D4">
      <w:pPr>
        <w:spacing w:after="14" w:line="259" w:lineRule="auto"/>
        <w:ind w:left="0" w:firstLine="0"/>
        <w:jc w:val="left"/>
      </w:pPr>
      <w:r>
        <w:t xml:space="preserve"> </w:t>
      </w:r>
    </w:p>
    <w:p w14:paraId="1E1C677E" w14:textId="77777777" w:rsidR="00F42E53" w:rsidRDefault="002421D4">
      <w:pPr>
        <w:pStyle w:val="Heading1"/>
        <w:tabs>
          <w:tab w:val="center" w:pos="1195"/>
        </w:tabs>
        <w:ind w:left="0" w:right="0" w:firstLine="0"/>
      </w:pPr>
      <w:bookmarkStart w:id="8" w:name="_Toc33375"/>
      <w:r>
        <w:rPr>
          <w:sz w:val="22"/>
        </w:rPr>
        <w:t xml:space="preserve">9.0 </w:t>
      </w:r>
      <w:r>
        <w:rPr>
          <w:sz w:val="22"/>
        </w:rPr>
        <w:tab/>
      </w:r>
      <w:r>
        <w:t xml:space="preserve">CCTV </w:t>
      </w:r>
      <w:bookmarkEnd w:id="8"/>
    </w:p>
    <w:p w14:paraId="42BB1A8D" w14:textId="77777777" w:rsidR="00F42E53" w:rsidRDefault="002421D4">
      <w:pPr>
        <w:spacing w:after="1" w:line="259" w:lineRule="auto"/>
        <w:ind w:left="0" w:firstLine="0"/>
        <w:jc w:val="left"/>
      </w:pPr>
      <w:r>
        <w:rPr>
          <w:b/>
        </w:rPr>
        <w:t xml:space="preserve"> </w:t>
      </w:r>
    </w:p>
    <w:p w14:paraId="1EF65B88" w14:textId="77777777" w:rsidR="00F42E53" w:rsidRDefault="002421D4">
      <w:pPr>
        <w:ind w:left="63" w:right="601"/>
      </w:pPr>
      <w:r>
        <w:t xml:space="preserve">We use CCTV in various locations around some sites to ensure it remains safe. We will adhere to the ICO’s </w:t>
      </w:r>
      <w:hyperlink r:id="rId43">
        <w:r>
          <w:t xml:space="preserve">code </w:t>
        </w:r>
      </w:hyperlink>
      <w:hyperlink r:id="rId44">
        <w:r>
          <w:t>of practice</w:t>
        </w:r>
      </w:hyperlink>
      <w:hyperlink r:id="rId45">
        <w:r>
          <w:t xml:space="preserve"> </w:t>
        </w:r>
      </w:hyperlink>
      <w:r>
        <w:t xml:space="preserve">for the use of CCTV as detailed in the </w:t>
      </w:r>
      <w:r>
        <w:rPr>
          <w:i/>
          <w:color w:val="04926C"/>
        </w:rPr>
        <w:t>CCTV Policy</w:t>
      </w:r>
      <w:r>
        <w:t xml:space="preserve">. </w:t>
      </w:r>
    </w:p>
    <w:p w14:paraId="6C222EBF" w14:textId="77777777" w:rsidR="00F42E53" w:rsidRDefault="002421D4">
      <w:pPr>
        <w:spacing w:after="0" w:line="259" w:lineRule="auto"/>
        <w:ind w:left="0" w:firstLine="0"/>
        <w:jc w:val="left"/>
      </w:pPr>
      <w:r>
        <w:t xml:space="preserve"> </w:t>
      </w:r>
    </w:p>
    <w:p w14:paraId="76683405" w14:textId="77777777" w:rsidR="00F42E53" w:rsidRDefault="002421D4">
      <w:pPr>
        <w:ind w:left="63" w:right="601"/>
      </w:pPr>
      <w:r>
        <w:t xml:space="preserve">We do not need to ask individuals’ permission to use CCTV, but we make it clear where individuals are being recorded. Security cameras are clearly visible and accompanied by prominent signs explaining that CCTV is in use. Any enquiries about the CCTV system should be directed to the relevant Head of Service or Regional Manager. </w:t>
      </w:r>
    </w:p>
    <w:p w14:paraId="16A08D8B" w14:textId="77777777" w:rsidR="00F42E53" w:rsidRDefault="002421D4">
      <w:pPr>
        <w:spacing w:after="0" w:line="259" w:lineRule="auto"/>
        <w:ind w:left="0" w:firstLine="0"/>
        <w:jc w:val="left"/>
      </w:pPr>
      <w:r>
        <w:lastRenderedPageBreak/>
        <w:t xml:space="preserve"> </w:t>
      </w:r>
    </w:p>
    <w:p w14:paraId="2862CC5D" w14:textId="77777777" w:rsidR="00F42E53" w:rsidRDefault="002421D4">
      <w:pPr>
        <w:spacing w:after="19" w:line="259" w:lineRule="auto"/>
        <w:ind w:left="0" w:firstLine="0"/>
        <w:jc w:val="left"/>
      </w:pPr>
      <w:r>
        <w:t xml:space="preserve"> </w:t>
      </w:r>
    </w:p>
    <w:p w14:paraId="7146CE78" w14:textId="77777777" w:rsidR="00F42E53" w:rsidRDefault="002421D4">
      <w:pPr>
        <w:pStyle w:val="Heading1"/>
        <w:tabs>
          <w:tab w:val="center" w:pos="2350"/>
        </w:tabs>
        <w:ind w:left="0" w:right="0" w:firstLine="0"/>
      </w:pPr>
      <w:bookmarkStart w:id="9" w:name="_Toc33376"/>
      <w:r>
        <w:rPr>
          <w:sz w:val="22"/>
        </w:rPr>
        <w:t xml:space="preserve">10.0 </w:t>
      </w:r>
      <w:r>
        <w:rPr>
          <w:sz w:val="22"/>
        </w:rPr>
        <w:tab/>
      </w:r>
      <w:r>
        <w:t xml:space="preserve">PHOTOGRAPHS AND VIDEOS </w:t>
      </w:r>
      <w:bookmarkEnd w:id="9"/>
    </w:p>
    <w:p w14:paraId="446BC4C2" w14:textId="77777777" w:rsidR="00F42E53" w:rsidRDefault="002421D4">
      <w:pPr>
        <w:spacing w:after="0" w:line="259" w:lineRule="auto"/>
        <w:ind w:left="0" w:firstLine="0"/>
        <w:jc w:val="left"/>
      </w:pPr>
      <w:r>
        <w:rPr>
          <w:b/>
        </w:rPr>
        <w:t xml:space="preserve"> </w:t>
      </w:r>
    </w:p>
    <w:p w14:paraId="7568275B" w14:textId="77777777" w:rsidR="00F42E53" w:rsidRDefault="002421D4">
      <w:pPr>
        <w:spacing w:line="244" w:lineRule="auto"/>
        <w:ind w:left="48" w:right="489"/>
        <w:jc w:val="left"/>
      </w:pPr>
      <w:r>
        <w:t xml:space="preserve">As part of our service provision, we may take photographs and record images of individuals undertaking different activities, but we will not accompany them with any other personal information about the individual to ensure they cannot be identified. </w:t>
      </w:r>
    </w:p>
    <w:p w14:paraId="37BAC8F1" w14:textId="77777777" w:rsidR="00F42E53" w:rsidRDefault="002421D4">
      <w:pPr>
        <w:spacing w:after="0" w:line="259" w:lineRule="auto"/>
        <w:ind w:left="0" w:firstLine="0"/>
        <w:jc w:val="left"/>
      </w:pPr>
      <w:r>
        <w:t xml:space="preserve"> </w:t>
      </w:r>
    </w:p>
    <w:p w14:paraId="13BB9B32" w14:textId="77777777" w:rsidR="00F42E53" w:rsidRDefault="002421D4">
      <w:pPr>
        <w:ind w:left="63" w:right="601"/>
      </w:pPr>
      <w:r>
        <w:t xml:space="preserve">We will obtain written consent from the individual, whether an employee or a person we support, or their parents/carers where applicable, and clearly explain how the photograph will be used. </w:t>
      </w:r>
    </w:p>
    <w:p w14:paraId="1F3D983F" w14:textId="77777777" w:rsidR="00F42E53" w:rsidRDefault="002421D4">
      <w:pPr>
        <w:spacing w:after="0" w:line="259" w:lineRule="auto"/>
        <w:ind w:left="0" w:firstLine="0"/>
        <w:jc w:val="left"/>
      </w:pPr>
      <w:r>
        <w:t xml:space="preserve"> </w:t>
      </w:r>
    </w:p>
    <w:p w14:paraId="19065C84" w14:textId="77777777" w:rsidR="00F42E53" w:rsidRDefault="002421D4">
      <w:pPr>
        <w:spacing w:after="259"/>
        <w:ind w:left="63" w:right="601"/>
      </w:pPr>
      <w:r>
        <w:t xml:space="preserve">Uses may include: </w:t>
      </w:r>
    </w:p>
    <w:p w14:paraId="2417ED33" w14:textId="77777777" w:rsidR="00F42E53" w:rsidRDefault="002421D4">
      <w:pPr>
        <w:numPr>
          <w:ilvl w:val="0"/>
          <w:numId w:val="13"/>
        </w:numPr>
        <w:ind w:left="760" w:right="601" w:hanging="360"/>
      </w:pPr>
      <w:r>
        <w:t xml:space="preserve">Within service notice boards and in company magazines, brochures, newsletters, etc. </w:t>
      </w:r>
    </w:p>
    <w:p w14:paraId="44F38EAD" w14:textId="77777777" w:rsidR="00F42E53" w:rsidRDefault="002421D4">
      <w:pPr>
        <w:numPr>
          <w:ilvl w:val="0"/>
          <w:numId w:val="13"/>
        </w:numPr>
        <w:ind w:left="760" w:right="601" w:hanging="360"/>
      </w:pPr>
      <w:r>
        <w:t xml:space="preserve">Outside of the service by </w:t>
      </w:r>
      <w:r>
        <w:t xml:space="preserve">external agencies such as the promotion, newspapers, campaigns </w:t>
      </w:r>
    </w:p>
    <w:p w14:paraId="4EB551D2" w14:textId="77777777" w:rsidR="00F42E53" w:rsidRDefault="002421D4">
      <w:pPr>
        <w:numPr>
          <w:ilvl w:val="0"/>
          <w:numId w:val="13"/>
        </w:numPr>
        <w:ind w:left="760" w:right="601" w:hanging="360"/>
      </w:pPr>
      <w:r>
        <w:t xml:space="preserve">Online on our website or social media pages </w:t>
      </w:r>
    </w:p>
    <w:p w14:paraId="1D10D05D" w14:textId="77777777" w:rsidR="00F42E53" w:rsidRDefault="002421D4">
      <w:pPr>
        <w:spacing w:after="182" w:line="259" w:lineRule="auto"/>
        <w:ind w:left="0" w:firstLine="0"/>
        <w:jc w:val="left"/>
      </w:pPr>
      <w:r>
        <w:t xml:space="preserve"> </w:t>
      </w:r>
    </w:p>
    <w:p w14:paraId="291648EB" w14:textId="77777777" w:rsidR="00F42E53" w:rsidRDefault="002421D4">
      <w:pPr>
        <w:spacing w:after="0" w:line="259" w:lineRule="auto"/>
        <w:ind w:left="0" w:firstLine="0"/>
        <w:jc w:val="left"/>
      </w:pPr>
      <w:r>
        <w:t xml:space="preserve"> </w:t>
      </w:r>
    </w:p>
    <w:p w14:paraId="56F81DA3" w14:textId="77777777" w:rsidR="00F42E53" w:rsidRDefault="002421D4">
      <w:pPr>
        <w:ind w:right="662"/>
      </w:pPr>
      <w:r>
        <w:t xml:space="preserve">Consent can be refused or withdrawn at any time. If consent is withdrawn, we will delete the photograph or video and not distribute it further. </w:t>
      </w:r>
    </w:p>
    <w:p w14:paraId="0795CDE2" w14:textId="77777777" w:rsidR="00F42E53" w:rsidRDefault="002421D4">
      <w:pPr>
        <w:spacing w:after="0" w:line="259" w:lineRule="auto"/>
        <w:ind w:left="0" w:firstLine="0"/>
        <w:jc w:val="left"/>
      </w:pPr>
      <w:r>
        <w:t xml:space="preserve"> </w:t>
      </w:r>
    </w:p>
    <w:p w14:paraId="19081E83" w14:textId="77777777" w:rsidR="00F42E53" w:rsidRDefault="002421D4">
      <w:pPr>
        <w:spacing w:after="20" w:line="259" w:lineRule="auto"/>
        <w:ind w:left="0" w:firstLine="0"/>
        <w:jc w:val="left"/>
      </w:pPr>
      <w:r>
        <w:t xml:space="preserve"> </w:t>
      </w:r>
    </w:p>
    <w:p w14:paraId="67873F09" w14:textId="77777777" w:rsidR="00F42E53" w:rsidRDefault="002421D4">
      <w:pPr>
        <w:pStyle w:val="Heading1"/>
        <w:tabs>
          <w:tab w:val="center" w:pos="3181"/>
        </w:tabs>
        <w:ind w:left="0" w:right="0" w:firstLine="0"/>
      </w:pPr>
      <w:bookmarkStart w:id="10" w:name="_Toc33377"/>
      <w:r>
        <w:rPr>
          <w:sz w:val="22"/>
        </w:rPr>
        <w:t xml:space="preserve">11.0 </w:t>
      </w:r>
      <w:r>
        <w:rPr>
          <w:sz w:val="22"/>
        </w:rPr>
        <w:tab/>
      </w:r>
      <w:r>
        <w:t xml:space="preserve">DATA SECURITY AND STORAGE OF RECORDS </w:t>
      </w:r>
      <w:bookmarkEnd w:id="10"/>
    </w:p>
    <w:p w14:paraId="4A8A25FE" w14:textId="77777777" w:rsidR="00F42E53" w:rsidRDefault="002421D4">
      <w:pPr>
        <w:spacing w:after="0" w:line="259" w:lineRule="auto"/>
        <w:ind w:left="0" w:firstLine="0"/>
        <w:jc w:val="left"/>
      </w:pPr>
      <w:r>
        <w:rPr>
          <w:b/>
        </w:rPr>
        <w:t xml:space="preserve"> </w:t>
      </w:r>
    </w:p>
    <w:p w14:paraId="30E0666E" w14:textId="77777777" w:rsidR="00F42E53" w:rsidRDefault="002421D4">
      <w:pPr>
        <w:ind w:right="601"/>
      </w:pPr>
      <w:r>
        <w:t xml:space="preserve">We will protect personal data and keep it safe from unauthorised or unlawful access, alteration, </w:t>
      </w:r>
    </w:p>
    <w:p w14:paraId="2BC645AE" w14:textId="77777777" w:rsidR="00F42E53" w:rsidRDefault="002421D4">
      <w:pPr>
        <w:spacing w:after="0" w:line="259" w:lineRule="auto"/>
        <w:ind w:left="0" w:firstLine="0"/>
        <w:jc w:val="left"/>
      </w:pPr>
      <w:r>
        <w:rPr>
          <w:rFonts w:ascii="Calibri" w:eastAsia="Calibri" w:hAnsi="Calibri" w:cs="Calibri"/>
        </w:rPr>
        <w:t xml:space="preserve"> </w:t>
      </w:r>
    </w:p>
    <w:p w14:paraId="706BF522" w14:textId="77777777" w:rsidR="00F42E53" w:rsidRDefault="002421D4">
      <w:pPr>
        <w:spacing w:after="203" w:line="259" w:lineRule="auto"/>
        <w:ind w:left="0" w:firstLine="0"/>
        <w:jc w:val="left"/>
      </w:pPr>
      <w:r>
        <w:rPr>
          <w:rFonts w:ascii="Calibri" w:eastAsia="Calibri" w:hAnsi="Calibri" w:cs="Calibri"/>
        </w:rPr>
        <w:t xml:space="preserve"> </w:t>
      </w:r>
    </w:p>
    <w:p w14:paraId="78A7F9C8" w14:textId="77777777" w:rsidR="00F42E53" w:rsidRDefault="002421D4">
      <w:pPr>
        <w:ind w:right="601"/>
      </w:pPr>
      <w:r>
        <w:t xml:space="preserve">processing or disclosure, and against accidental or unlawful loss, destruction or damage. </w:t>
      </w:r>
    </w:p>
    <w:p w14:paraId="5F26652A" w14:textId="77777777" w:rsidR="00F42E53" w:rsidRDefault="002421D4">
      <w:pPr>
        <w:spacing w:after="32" w:line="259" w:lineRule="auto"/>
        <w:ind w:left="0" w:firstLine="0"/>
        <w:jc w:val="left"/>
      </w:pPr>
      <w:r>
        <w:t xml:space="preserve"> </w:t>
      </w:r>
    </w:p>
    <w:p w14:paraId="5F03F1AB" w14:textId="77777777" w:rsidR="00F42E53" w:rsidRDefault="002421D4">
      <w:pPr>
        <w:numPr>
          <w:ilvl w:val="0"/>
          <w:numId w:val="14"/>
        </w:numPr>
        <w:spacing w:after="53"/>
        <w:ind w:left="760" w:right="601" w:hanging="360"/>
      </w:pPr>
      <w:r>
        <w:t xml:space="preserve">Paper-based records and portable electronic devices, such as laptops and hard drives that contain personal data are kept securely under lock and key when not in use </w:t>
      </w:r>
    </w:p>
    <w:p w14:paraId="355B1F2A" w14:textId="77777777" w:rsidR="00F42E53" w:rsidRDefault="002421D4">
      <w:pPr>
        <w:numPr>
          <w:ilvl w:val="0"/>
          <w:numId w:val="14"/>
        </w:numPr>
        <w:spacing w:after="56"/>
        <w:ind w:left="760" w:right="601" w:hanging="360"/>
      </w:pPr>
      <w:r>
        <w:t xml:space="preserve">Papers containing confidential personal data must not be left on office and classroom desks, on staffroom tables, pinned to notice/display boards, or left anywhere else where there is general access. </w:t>
      </w:r>
    </w:p>
    <w:p w14:paraId="03C75345" w14:textId="77777777" w:rsidR="00F42E53" w:rsidRDefault="002421D4">
      <w:pPr>
        <w:numPr>
          <w:ilvl w:val="0"/>
          <w:numId w:val="14"/>
        </w:numPr>
        <w:ind w:left="760" w:right="601" w:hanging="360"/>
      </w:pPr>
      <w:r>
        <w:t xml:space="preserve">Where personal information needs to be taken off site, staff must sign it in and out from the service, and the information must be transported in a secure manner (encrypted devices or lockable cases). Checks on such activities will form part of regular Data Audits. </w:t>
      </w:r>
    </w:p>
    <w:p w14:paraId="10D23CB6" w14:textId="77777777" w:rsidR="00F42E53" w:rsidRDefault="002421D4">
      <w:pPr>
        <w:numPr>
          <w:ilvl w:val="0"/>
          <w:numId w:val="14"/>
        </w:numPr>
        <w:ind w:left="760" w:right="601" w:hanging="360"/>
      </w:pPr>
      <w:r>
        <w:t xml:space="preserve">All staff must comply with the </w:t>
      </w:r>
      <w:r>
        <w:rPr>
          <w:i/>
          <w:color w:val="00AA00"/>
        </w:rPr>
        <w:t>Information Security Policy</w:t>
      </w:r>
      <w:r>
        <w:t xml:space="preserve">, alongside this Policy at all times. </w:t>
      </w:r>
    </w:p>
    <w:p w14:paraId="6C6FBFE5" w14:textId="77777777" w:rsidR="00F42E53" w:rsidRDefault="002421D4">
      <w:pPr>
        <w:numPr>
          <w:ilvl w:val="0"/>
          <w:numId w:val="14"/>
        </w:numPr>
        <w:spacing w:after="45"/>
        <w:ind w:left="760" w:right="601" w:hanging="360"/>
      </w:pPr>
      <w:r>
        <w:t xml:space="preserve">Passwords that are at least 8 characters long containing letters and numbers are used to access service computers, laptops and other electronic devices. Staff are reminded to change their passwords at regular intervals </w:t>
      </w:r>
    </w:p>
    <w:p w14:paraId="1621B3B9" w14:textId="77777777" w:rsidR="00F42E53" w:rsidRDefault="002421D4">
      <w:pPr>
        <w:numPr>
          <w:ilvl w:val="0"/>
          <w:numId w:val="14"/>
        </w:numPr>
        <w:spacing w:after="50"/>
        <w:ind w:left="760" w:right="601" w:hanging="360"/>
      </w:pPr>
      <w:r>
        <w:t xml:space="preserve">Encryption software is used to protect all portable devices and removable media, wherever possible, such as laptops. </w:t>
      </w:r>
    </w:p>
    <w:p w14:paraId="25F879AE" w14:textId="77777777" w:rsidR="00F42E53" w:rsidRDefault="002421D4">
      <w:pPr>
        <w:numPr>
          <w:ilvl w:val="0"/>
          <w:numId w:val="14"/>
        </w:numPr>
        <w:ind w:left="760" w:right="601" w:hanging="360"/>
      </w:pPr>
      <w:r>
        <w:t xml:space="preserve">Where we need to share personal data with a third party, we carry out due diligence and take reasonable steps to ensure it is stored securely and adequately protected </w:t>
      </w:r>
    </w:p>
    <w:p w14:paraId="4860C7E6" w14:textId="77777777" w:rsidR="00F42E53" w:rsidRDefault="002421D4">
      <w:pPr>
        <w:spacing w:after="0" w:line="259" w:lineRule="auto"/>
        <w:ind w:left="0" w:firstLine="0"/>
        <w:jc w:val="left"/>
      </w:pPr>
      <w:r>
        <w:t xml:space="preserve"> </w:t>
      </w:r>
    </w:p>
    <w:p w14:paraId="43E1AB88" w14:textId="77777777" w:rsidR="00F42E53" w:rsidRDefault="002421D4">
      <w:pPr>
        <w:spacing w:after="19" w:line="259" w:lineRule="auto"/>
        <w:ind w:left="0" w:firstLine="0"/>
        <w:jc w:val="left"/>
      </w:pPr>
      <w:r>
        <w:t xml:space="preserve"> </w:t>
      </w:r>
    </w:p>
    <w:p w14:paraId="437E463D" w14:textId="77777777" w:rsidR="00F42E53" w:rsidRDefault="002421D4">
      <w:pPr>
        <w:pStyle w:val="Heading1"/>
        <w:tabs>
          <w:tab w:val="center" w:pos="2126"/>
        </w:tabs>
        <w:ind w:left="0" w:right="0" w:firstLine="0"/>
      </w:pPr>
      <w:bookmarkStart w:id="11" w:name="_Toc33378"/>
      <w:r>
        <w:rPr>
          <w:sz w:val="22"/>
        </w:rPr>
        <w:t xml:space="preserve">12.0 </w:t>
      </w:r>
      <w:r>
        <w:rPr>
          <w:sz w:val="22"/>
        </w:rPr>
        <w:tab/>
      </w:r>
      <w:r>
        <w:t xml:space="preserve">DISPOSAL OF RECORDS </w:t>
      </w:r>
      <w:bookmarkEnd w:id="11"/>
    </w:p>
    <w:p w14:paraId="5E597716" w14:textId="77777777" w:rsidR="00F42E53" w:rsidRDefault="002421D4">
      <w:pPr>
        <w:spacing w:after="0" w:line="259" w:lineRule="auto"/>
        <w:ind w:left="0" w:firstLine="0"/>
        <w:jc w:val="left"/>
      </w:pPr>
      <w:r>
        <w:rPr>
          <w:b/>
        </w:rPr>
        <w:t xml:space="preserve"> </w:t>
      </w:r>
    </w:p>
    <w:p w14:paraId="293A7A89" w14:textId="77777777" w:rsidR="00F42E53" w:rsidRDefault="002421D4">
      <w:pPr>
        <w:spacing w:after="245"/>
        <w:ind w:right="740"/>
      </w:pPr>
      <w:r>
        <w:lastRenderedPageBreak/>
        <w:t xml:space="preserve">Personal data that is no longer needed will be disposed of securely in accordance with the </w:t>
      </w:r>
      <w:r>
        <w:rPr>
          <w:i/>
          <w:color w:val="04936C"/>
        </w:rPr>
        <w:t>Data Retention &amp; Disposal Policy</w:t>
      </w:r>
      <w:r>
        <w:t xml:space="preserve">. Personal data that is inaccurate or out of date will also be disposed of securely, where we cannot or do not need to rectify or update it. </w:t>
      </w:r>
    </w:p>
    <w:p w14:paraId="437B90B1" w14:textId="77777777" w:rsidR="00F42E53" w:rsidRDefault="002421D4">
      <w:pPr>
        <w:ind w:left="63" w:right="738"/>
      </w:pPr>
      <w:r>
        <w:t xml:space="preserve">For example, we will shred or incinerate paper-based records, and overwrite or delete electronic files. We may also use a third party to safely dispose of records on the Group’s behalf. If we do so, we will require the third party to provide sufficient guarantees that it complies with Data Protection Law. </w:t>
      </w:r>
    </w:p>
    <w:p w14:paraId="766AB59B" w14:textId="77777777" w:rsidR="00F42E53" w:rsidRDefault="002421D4">
      <w:pPr>
        <w:spacing w:after="0" w:line="259" w:lineRule="auto"/>
        <w:ind w:left="0" w:firstLine="0"/>
        <w:jc w:val="left"/>
      </w:pPr>
      <w:r>
        <w:t xml:space="preserve"> </w:t>
      </w:r>
    </w:p>
    <w:p w14:paraId="76C5FD4E" w14:textId="77777777" w:rsidR="00F42E53" w:rsidRDefault="002421D4">
      <w:pPr>
        <w:spacing w:after="16" w:line="259" w:lineRule="auto"/>
        <w:ind w:left="0" w:firstLine="0"/>
        <w:jc w:val="left"/>
      </w:pPr>
      <w:r>
        <w:t xml:space="preserve"> </w:t>
      </w:r>
    </w:p>
    <w:p w14:paraId="24939F3C" w14:textId="77777777" w:rsidR="00F42E53" w:rsidRDefault="002421D4">
      <w:pPr>
        <w:pStyle w:val="Heading1"/>
        <w:tabs>
          <w:tab w:val="center" w:pos="2235"/>
        </w:tabs>
        <w:ind w:left="0" w:right="0" w:firstLine="0"/>
      </w:pPr>
      <w:bookmarkStart w:id="12" w:name="_Toc33379"/>
      <w:r>
        <w:rPr>
          <w:sz w:val="22"/>
        </w:rPr>
        <w:t xml:space="preserve">13.0 </w:t>
      </w:r>
      <w:r>
        <w:rPr>
          <w:sz w:val="22"/>
        </w:rPr>
        <w:tab/>
      </w:r>
      <w:r>
        <w:t xml:space="preserve">PERSONAL DATA BREACH </w:t>
      </w:r>
      <w:bookmarkEnd w:id="12"/>
    </w:p>
    <w:p w14:paraId="4E508B0D" w14:textId="77777777" w:rsidR="00F42E53" w:rsidRDefault="002421D4">
      <w:pPr>
        <w:spacing w:after="0" w:line="259" w:lineRule="auto"/>
        <w:ind w:left="0" w:firstLine="0"/>
        <w:jc w:val="left"/>
      </w:pPr>
      <w:r>
        <w:rPr>
          <w:b/>
        </w:rPr>
        <w:t xml:space="preserve"> </w:t>
      </w:r>
    </w:p>
    <w:p w14:paraId="02F34BCA" w14:textId="77777777" w:rsidR="00F42E53" w:rsidRDefault="002421D4">
      <w:pPr>
        <w:ind w:right="601"/>
      </w:pPr>
      <w:r>
        <w:t xml:space="preserve">Each service will make all reasonable endeavours to ensure that there are no personal data breaches by minimising risks through good working practices outlined in this Policy. In the event of a suspected data breach, staff must follow the </w:t>
      </w:r>
      <w:r>
        <w:rPr>
          <w:i/>
          <w:color w:val="04936C"/>
        </w:rPr>
        <w:t>Data Breach Procedure</w:t>
      </w:r>
      <w:r>
        <w:t xml:space="preserve">. </w:t>
      </w:r>
    </w:p>
    <w:p w14:paraId="4AAF4499" w14:textId="77777777" w:rsidR="00F42E53" w:rsidRDefault="002421D4">
      <w:pPr>
        <w:spacing w:after="0" w:line="259" w:lineRule="auto"/>
        <w:ind w:left="0" w:firstLine="0"/>
        <w:jc w:val="left"/>
      </w:pPr>
      <w:r>
        <w:t xml:space="preserve"> </w:t>
      </w:r>
    </w:p>
    <w:p w14:paraId="40E76E9C" w14:textId="77777777" w:rsidR="00F42E53" w:rsidRDefault="002421D4">
      <w:pPr>
        <w:spacing w:after="265"/>
        <w:ind w:right="601"/>
      </w:pPr>
      <w:r>
        <w:t xml:space="preserve">Following a review and if advised by the DPO, we will report the data breach to the ICO no later than 72 hours after becoming aware of the breach. Such breaches in a service context may include, but are not limited to: </w:t>
      </w:r>
    </w:p>
    <w:p w14:paraId="098B3D07" w14:textId="77777777" w:rsidR="00F42E53" w:rsidRDefault="002421D4">
      <w:pPr>
        <w:numPr>
          <w:ilvl w:val="0"/>
          <w:numId w:val="15"/>
        </w:numPr>
        <w:ind w:left="760" w:right="601" w:hanging="360"/>
      </w:pPr>
      <w:r>
        <w:t xml:space="preserve">Non-anonymised, sensitive data being published online or disclosed to unauthorised individuals; </w:t>
      </w:r>
    </w:p>
    <w:p w14:paraId="3DB0EDAA" w14:textId="77777777" w:rsidR="00F42E53" w:rsidRDefault="002421D4">
      <w:pPr>
        <w:numPr>
          <w:ilvl w:val="0"/>
          <w:numId w:val="15"/>
        </w:numPr>
        <w:ind w:left="760" w:right="601" w:hanging="360"/>
      </w:pPr>
      <w:r>
        <w:t xml:space="preserve">Safeguarding information being made available to an unauthorised person; </w:t>
      </w:r>
    </w:p>
    <w:p w14:paraId="479A6E78" w14:textId="77777777" w:rsidR="00F42E53" w:rsidRDefault="002421D4">
      <w:pPr>
        <w:numPr>
          <w:ilvl w:val="0"/>
          <w:numId w:val="15"/>
        </w:numPr>
        <w:ind w:left="760" w:right="601" w:hanging="360"/>
      </w:pPr>
      <w:r>
        <w:t xml:space="preserve">The theft of a service laptop containing non-encrypted personal data </w:t>
      </w:r>
    </w:p>
    <w:p w14:paraId="0A8CD806" w14:textId="77777777" w:rsidR="00F42E53" w:rsidRDefault="002421D4">
      <w:pPr>
        <w:spacing w:after="0" w:line="259" w:lineRule="auto"/>
        <w:ind w:left="0" w:firstLine="0"/>
        <w:jc w:val="left"/>
      </w:pPr>
      <w:r>
        <w:t xml:space="preserve"> </w:t>
      </w:r>
    </w:p>
    <w:p w14:paraId="58481D45" w14:textId="77777777" w:rsidR="00F42E53" w:rsidRDefault="002421D4">
      <w:pPr>
        <w:spacing w:after="16" w:line="259" w:lineRule="auto"/>
        <w:ind w:left="0" w:firstLine="0"/>
        <w:jc w:val="left"/>
      </w:pPr>
      <w:r>
        <w:t xml:space="preserve"> </w:t>
      </w:r>
    </w:p>
    <w:p w14:paraId="6197B7A8" w14:textId="77777777" w:rsidR="00F42E53" w:rsidRDefault="002421D4">
      <w:pPr>
        <w:pStyle w:val="Heading1"/>
        <w:tabs>
          <w:tab w:val="center" w:pos="1402"/>
        </w:tabs>
        <w:ind w:left="0" w:right="0" w:firstLine="0"/>
      </w:pPr>
      <w:bookmarkStart w:id="13" w:name="_Toc33380"/>
      <w:r>
        <w:rPr>
          <w:sz w:val="22"/>
        </w:rPr>
        <w:t xml:space="preserve">14.0 </w:t>
      </w:r>
      <w:r>
        <w:rPr>
          <w:sz w:val="22"/>
        </w:rPr>
        <w:tab/>
      </w:r>
      <w:r>
        <w:t xml:space="preserve">TRAINING </w:t>
      </w:r>
      <w:bookmarkEnd w:id="13"/>
    </w:p>
    <w:p w14:paraId="146D8ED6" w14:textId="77777777" w:rsidR="00F42E53" w:rsidRDefault="002421D4">
      <w:pPr>
        <w:spacing w:after="0" w:line="259" w:lineRule="auto"/>
        <w:ind w:left="0" w:firstLine="0"/>
        <w:jc w:val="left"/>
      </w:pPr>
      <w:r>
        <w:rPr>
          <w:b/>
        </w:rPr>
        <w:t xml:space="preserve"> </w:t>
      </w:r>
    </w:p>
    <w:p w14:paraId="4A0D634F" w14:textId="77777777" w:rsidR="00F42E53" w:rsidRDefault="002421D4">
      <w:pPr>
        <w:ind w:left="8" w:right="449"/>
      </w:pPr>
      <w:r>
        <w:t xml:space="preserve">All staff are provided with data protection training as part of their induction process to ensure they are able to demonstrate competence in their understanding of all relevant legislation, best practice and how this is practised and implemented throughout Outcomes First Group, particularly with reference to information management and system security. </w:t>
      </w:r>
    </w:p>
    <w:p w14:paraId="7EA7B70B" w14:textId="77777777" w:rsidR="00F42E53" w:rsidRDefault="002421D4">
      <w:pPr>
        <w:spacing w:after="0" w:line="259" w:lineRule="auto"/>
        <w:ind w:left="0" w:firstLine="0"/>
        <w:jc w:val="left"/>
      </w:pPr>
      <w:r>
        <w:t xml:space="preserve"> </w:t>
      </w:r>
    </w:p>
    <w:p w14:paraId="0326300A" w14:textId="77777777" w:rsidR="00F42E53" w:rsidRDefault="002421D4">
      <w:pPr>
        <w:ind w:right="601"/>
      </w:pPr>
      <w:r>
        <w:t xml:space="preserve">Data protection will also form part of continuing professional development and refresher training, where changes to legislation, guidance or the organisation’s processes make it necessary. Records of all training activities are held by the Talent &amp; Development Team and are available for enquiry as part of Data Audits as necessary. </w:t>
      </w:r>
    </w:p>
    <w:p w14:paraId="6B0D99AA" w14:textId="77777777" w:rsidR="00F42E53" w:rsidRDefault="002421D4">
      <w:pPr>
        <w:spacing w:after="0" w:line="259" w:lineRule="auto"/>
        <w:ind w:left="0" w:firstLine="0"/>
        <w:jc w:val="left"/>
      </w:pPr>
      <w:r>
        <w:t xml:space="preserve"> </w:t>
      </w:r>
    </w:p>
    <w:p w14:paraId="03CD0B25" w14:textId="77777777" w:rsidR="00F42E53" w:rsidRDefault="002421D4">
      <w:pPr>
        <w:spacing w:after="17" w:line="259" w:lineRule="auto"/>
        <w:ind w:left="0" w:firstLine="0"/>
        <w:jc w:val="left"/>
      </w:pPr>
      <w:r>
        <w:t xml:space="preserve"> </w:t>
      </w:r>
    </w:p>
    <w:p w14:paraId="6C3142B6" w14:textId="77777777" w:rsidR="00F42E53" w:rsidRDefault="002421D4">
      <w:pPr>
        <w:pStyle w:val="Heading1"/>
        <w:tabs>
          <w:tab w:val="center" w:pos="2953"/>
        </w:tabs>
        <w:ind w:left="0" w:right="0" w:firstLine="0"/>
      </w:pPr>
      <w:bookmarkStart w:id="14" w:name="_Toc33381"/>
      <w:r>
        <w:rPr>
          <w:sz w:val="22"/>
        </w:rPr>
        <w:t xml:space="preserve">15.0 </w:t>
      </w:r>
      <w:r>
        <w:rPr>
          <w:sz w:val="22"/>
        </w:rPr>
        <w:tab/>
      </w:r>
      <w:r>
        <w:t xml:space="preserve">COMPLAINTS ABOUT DATA PROCESSING </w:t>
      </w:r>
      <w:bookmarkEnd w:id="14"/>
    </w:p>
    <w:p w14:paraId="38D929C4" w14:textId="77777777" w:rsidR="00F42E53" w:rsidRDefault="002421D4">
      <w:pPr>
        <w:spacing w:after="0" w:line="259" w:lineRule="auto"/>
        <w:ind w:left="0" w:firstLine="0"/>
        <w:jc w:val="left"/>
      </w:pPr>
      <w:r>
        <w:rPr>
          <w:b/>
        </w:rPr>
        <w:t xml:space="preserve"> </w:t>
      </w:r>
    </w:p>
    <w:p w14:paraId="7E242289" w14:textId="77777777" w:rsidR="00F42E53" w:rsidRDefault="002421D4">
      <w:pPr>
        <w:spacing w:after="262"/>
        <w:ind w:right="601"/>
      </w:pPr>
      <w:r>
        <w:t xml:space="preserve">Data subjects may </w:t>
      </w:r>
      <w:r>
        <w:t xml:space="preserve">complain about the data processing activities of the organisation, including: </w:t>
      </w:r>
    </w:p>
    <w:p w14:paraId="4B4DD5E8" w14:textId="77777777" w:rsidR="00F42E53" w:rsidRDefault="002421D4">
      <w:pPr>
        <w:numPr>
          <w:ilvl w:val="0"/>
          <w:numId w:val="16"/>
        </w:numPr>
        <w:ind w:left="760" w:right="601" w:hanging="360"/>
      </w:pPr>
      <w:r>
        <w:t xml:space="preserve">how their personal data has been processed; </w:t>
      </w:r>
    </w:p>
    <w:p w14:paraId="0414141B" w14:textId="77777777" w:rsidR="00F42E53" w:rsidRDefault="002421D4">
      <w:pPr>
        <w:numPr>
          <w:ilvl w:val="0"/>
          <w:numId w:val="16"/>
        </w:numPr>
        <w:ind w:left="760" w:right="601" w:hanging="360"/>
      </w:pPr>
      <w:r>
        <w:t xml:space="preserve">how their request for access to data has been handled; </w:t>
      </w:r>
    </w:p>
    <w:p w14:paraId="1153F5BA" w14:textId="77777777" w:rsidR="00F42E53" w:rsidRDefault="002421D4">
      <w:pPr>
        <w:numPr>
          <w:ilvl w:val="0"/>
          <w:numId w:val="16"/>
        </w:numPr>
        <w:ind w:left="760" w:right="601" w:hanging="360"/>
      </w:pPr>
      <w:r>
        <w:t xml:space="preserve">how their complaint has been handled. </w:t>
      </w:r>
    </w:p>
    <w:p w14:paraId="5D069099" w14:textId="77777777" w:rsidR="00F42E53" w:rsidRDefault="002421D4">
      <w:pPr>
        <w:spacing w:after="0" w:line="259" w:lineRule="auto"/>
        <w:ind w:left="0" w:firstLine="0"/>
        <w:jc w:val="left"/>
      </w:pPr>
      <w:r>
        <w:t xml:space="preserve"> </w:t>
      </w:r>
    </w:p>
    <w:p w14:paraId="5FE627FB" w14:textId="77777777" w:rsidR="00F42E53" w:rsidRDefault="002421D4">
      <w:pPr>
        <w:ind w:right="601"/>
      </w:pPr>
      <w:r>
        <w:t xml:space="preserve">They may also appeal against any </w:t>
      </w:r>
      <w:r>
        <w:t xml:space="preserve">decision made following a complaint. </w:t>
      </w:r>
    </w:p>
    <w:p w14:paraId="1B989F54" w14:textId="77777777" w:rsidR="00F42E53" w:rsidRDefault="002421D4">
      <w:pPr>
        <w:spacing w:after="0" w:line="259" w:lineRule="auto"/>
        <w:ind w:left="0" w:firstLine="0"/>
        <w:jc w:val="left"/>
      </w:pPr>
      <w:r>
        <w:t xml:space="preserve"> </w:t>
      </w:r>
    </w:p>
    <w:p w14:paraId="49251682" w14:textId="77777777" w:rsidR="00F42E53" w:rsidRDefault="002421D4">
      <w:pPr>
        <w:ind w:right="601"/>
      </w:pPr>
      <w:r>
        <w:t xml:space="preserve">Any complaints made in relation to the scope of this policy must be logged on Info Exchange and highlighted to the Data Protection Team, who will liaise with the DPO. Complaints will be handled in accordance with the company’s </w:t>
      </w:r>
      <w:r>
        <w:rPr>
          <w:i/>
          <w:color w:val="04936C"/>
        </w:rPr>
        <w:t xml:space="preserve">Complaints Policy </w:t>
      </w:r>
      <w:r>
        <w:t xml:space="preserve">and following advice from the DPO. </w:t>
      </w:r>
    </w:p>
    <w:p w14:paraId="2EDD4D86" w14:textId="77777777" w:rsidR="00F42E53" w:rsidRDefault="002421D4">
      <w:pPr>
        <w:spacing w:after="0" w:line="259" w:lineRule="auto"/>
        <w:ind w:left="0" w:firstLine="0"/>
        <w:jc w:val="left"/>
      </w:pPr>
      <w:r>
        <w:t xml:space="preserve"> </w:t>
      </w:r>
    </w:p>
    <w:p w14:paraId="7AF3CE6A" w14:textId="77777777" w:rsidR="00F42E53" w:rsidRDefault="002421D4">
      <w:pPr>
        <w:spacing w:after="19" w:line="259" w:lineRule="auto"/>
        <w:ind w:left="0" w:firstLine="0"/>
        <w:jc w:val="left"/>
      </w:pPr>
      <w:r>
        <w:t xml:space="preserve"> </w:t>
      </w:r>
    </w:p>
    <w:p w14:paraId="7642B64F" w14:textId="77777777" w:rsidR="00F42E53" w:rsidRDefault="002421D4">
      <w:pPr>
        <w:pStyle w:val="Heading1"/>
        <w:tabs>
          <w:tab w:val="center" w:pos="2445"/>
        </w:tabs>
        <w:ind w:left="0" w:right="0" w:firstLine="0"/>
      </w:pPr>
      <w:bookmarkStart w:id="15" w:name="_Toc33382"/>
      <w:r>
        <w:rPr>
          <w:sz w:val="22"/>
        </w:rPr>
        <w:lastRenderedPageBreak/>
        <w:t xml:space="preserve">16.0 </w:t>
      </w:r>
      <w:r>
        <w:rPr>
          <w:sz w:val="22"/>
        </w:rPr>
        <w:tab/>
      </w:r>
      <w:r>
        <w:t xml:space="preserve">MONITORING ARRANGEMENTS </w:t>
      </w:r>
      <w:bookmarkEnd w:id="15"/>
    </w:p>
    <w:p w14:paraId="7858F400" w14:textId="77777777" w:rsidR="00F42E53" w:rsidRDefault="002421D4">
      <w:pPr>
        <w:spacing w:after="0" w:line="259" w:lineRule="auto"/>
        <w:ind w:left="0" w:firstLine="0"/>
        <w:jc w:val="left"/>
      </w:pPr>
      <w:r>
        <w:rPr>
          <w:b/>
        </w:rPr>
        <w:t xml:space="preserve"> </w:t>
      </w:r>
    </w:p>
    <w:p w14:paraId="07959538" w14:textId="77777777" w:rsidR="00F42E53" w:rsidRDefault="002421D4">
      <w:pPr>
        <w:spacing w:after="247"/>
        <w:ind w:right="601"/>
      </w:pPr>
      <w:r>
        <w:t xml:space="preserve">The implementation of this policy will be monitored through a regular audit arrangement coordinated by the DPO and the Quality Division, using a standard Data Audit report template. The report and any actions arising from this audit will be logged on the Info Exchange system, which will track completion of advised improvements by local management. Progress in these areas will be monitored by the DPO, who will recommend Group-wide procedural changes where patterns of risks are identified. </w:t>
      </w:r>
    </w:p>
    <w:p w14:paraId="108A4A81" w14:textId="77777777" w:rsidR="00F42E53" w:rsidRDefault="002421D4">
      <w:pPr>
        <w:spacing w:after="19" w:line="259" w:lineRule="auto"/>
        <w:ind w:left="0" w:firstLine="0"/>
        <w:jc w:val="left"/>
      </w:pPr>
      <w:r>
        <w:t xml:space="preserve"> </w:t>
      </w:r>
    </w:p>
    <w:p w14:paraId="24590371" w14:textId="77777777" w:rsidR="00F42E53" w:rsidRDefault="002421D4">
      <w:pPr>
        <w:pStyle w:val="Heading1"/>
        <w:tabs>
          <w:tab w:val="center" w:pos="2213"/>
        </w:tabs>
        <w:ind w:left="0" w:right="0" w:firstLine="0"/>
      </w:pPr>
      <w:bookmarkStart w:id="16" w:name="_Toc33383"/>
      <w:r>
        <w:rPr>
          <w:sz w:val="22"/>
        </w:rPr>
        <w:t xml:space="preserve">17.0 </w:t>
      </w:r>
      <w:r>
        <w:rPr>
          <w:sz w:val="22"/>
        </w:rPr>
        <w:tab/>
      </w:r>
      <w:r>
        <w:t xml:space="preserve">NATIONAL DATA OPT-OUT </w:t>
      </w:r>
      <w:bookmarkEnd w:id="16"/>
    </w:p>
    <w:p w14:paraId="05E5D1F5" w14:textId="77777777" w:rsidR="00F42E53" w:rsidRDefault="002421D4">
      <w:pPr>
        <w:spacing w:after="0" w:line="259" w:lineRule="auto"/>
        <w:ind w:left="0" w:firstLine="0"/>
        <w:jc w:val="left"/>
      </w:pPr>
      <w:r>
        <w:rPr>
          <w:b/>
        </w:rPr>
        <w:t xml:space="preserve"> </w:t>
      </w:r>
    </w:p>
    <w:p w14:paraId="5CB4578E" w14:textId="77777777" w:rsidR="00F42E53" w:rsidRDefault="002421D4">
      <w:pPr>
        <w:ind w:right="601"/>
      </w:pPr>
      <w:r>
        <w:t xml:space="preserve">Outcomes First Group reviews all of our data processing on an annual basis to assess if the national data opt-out applies. This is recorded in our Record of Processing Activities. All new processing is assessed to see if the national data opt-out applies. </w:t>
      </w:r>
    </w:p>
    <w:p w14:paraId="0D8FBB3B" w14:textId="77777777" w:rsidR="00F42E53" w:rsidRDefault="002421D4">
      <w:pPr>
        <w:spacing w:after="0" w:line="259" w:lineRule="auto"/>
        <w:ind w:left="0" w:firstLine="0"/>
        <w:jc w:val="left"/>
      </w:pPr>
      <w:r>
        <w:t xml:space="preserve"> </w:t>
      </w:r>
    </w:p>
    <w:p w14:paraId="5E0E7556" w14:textId="77777777" w:rsidR="00F42E53" w:rsidRDefault="002421D4">
      <w:pPr>
        <w:ind w:right="601"/>
      </w:pPr>
      <w:r>
        <w:t>If any data processing falls within scope of the National Data Opt-Out we use</w:t>
      </w:r>
      <w:hyperlink r:id="rId46" w:anchor="the-check-for-national-data-opt-outs-service-technical-solution">
        <w:r>
          <w:t xml:space="preserve"> </w:t>
        </w:r>
      </w:hyperlink>
      <w:hyperlink r:id="rId47" w:anchor="the-check-for-national-data-opt-outs-service-technical-solution">
        <w:r>
          <w:rPr>
            <w:u w:val="single" w:color="000000"/>
          </w:rPr>
          <w:t>MESH</w:t>
        </w:r>
      </w:hyperlink>
      <w:hyperlink r:id="rId48" w:anchor="the-check-for-national-data-opt-outs-service-technical-solution">
        <w:r>
          <w:t xml:space="preserve"> </w:t>
        </w:r>
      </w:hyperlink>
      <w:r>
        <w:t xml:space="preserve">to check if any of our service users have opted out of their data being used for this purpose. </w:t>
      </w:r>
    </w:p>
    <w:p w14:paraId="6BB85934" w14:textId="77777777" w:rsidR="00F42E53" w:rsidRDefault="002421D4">
      <w:pPr>
        <w:spacing w:after="0" w:line="259" w:lineRule="auto"/>
        <w:ind w:left="0" w:firstLine="0"/>
        <w:jc w:val="left"/>
      </w:pPr>
      <w:r>
        <w:t xml:space="preserve"> </w:t>
      </w:r>
    </w:p>
    <w:p w14:paraId="1A430E7D" w14:textId="77777777" w:rsidR="00F42E53" w:rsidRDefault="002421D4">
      <w:pPr>
        <w:spacing w:line="244" w:lineRule="auto"/>
        <w:ind w:left="48" w:right="489"/>
        <w:jc w:val="left"/>
      </w:pPr>
      <w:r>
        <w:t xml:space="preserve">At this time, we do not share any data for planning or research purposes for which the national data opt-out would apply. We review all of the confidential patient information we process on an annual basis to see if this is used for research and planning purposes. If it is, then individuals can decide to stop their information being shared for this purpose. You can find out more information at </w:t>
      </w:r>
      <w:hyperlink r:id="rId49">
        <w:r>
          <w:rPr>
            <w:color w:val="3E53FF"/>
            <w:u w:val="single" w:color="3E53FF"/>
          </w:rPr>
          <w:t>https://www.nhs.uk/your</w:t>
        </w:r>
      </w:hyperlink>
      <w:hyperlink r:id="rId50">
        <w:r>
          <w:rPr>
            <w:color w:val="3E53FF"/>
            <w:u w:val="single" w:color="3E53FF"/>
          </w:rPr>
          <w:t>-</w:t>
        </w:r>
      </w:hyperlink>
      <w:hyperlink r:id="rId51">
        <w:r>
          <w:rPr>
            <w:color w:val="3E53FF"/>
            <w:u w:val="single" w:color="3E53FF"/>
          </w:rPr>
          <w:t>nhs</w:t>
        </w:r>
      </w:hyperlink>
      <w:hyperlink r:id="rId52">
        <w:r>
          <w:rPr>
            <w:color w:val="3E53FF"/>
            <w:u w:val="single" w:color="3E53FF"/>
          </w:rPr>
          <w:t>-</w:t>
        </w:r>
      </w:hyperlink>
      <w:hyperlink r:id="rId53">
        <w:r>
          <w:rPr>
            <w:color w:val="3E53FF"/>
            <w:u w:val="single" w:color="3E53FF"/>
          </w:rPr>
          <w:t>data</w:t>
        </w:r>
      </w:hyperlink>
      <w:hyperlink r:id="rId54">
        <w:r>
          <w:rPr>
            <w:color w:val="3E53FF"/>
            <w:u w:val="single" w:color="3E53FF"/>
          </w:rPr>
          <w:t>-</w:t>
        </w:r>
      </w:hyperlink>
      <w:hyperlink r:id="rId55">
        <w:r>
          <w:rPr>
            <w:color w:val="3E53FF"/>
            <w:u w:val="single" w:color="3E53FF"/>
          </w:rPr>
          <w:t>matters/.</w:t>
        </w:r>
      </w:hyperlink>
      <w:hyperlink r:id="rId56">
        <w:r>
          <w:t xml:space="preserve"> </w:t>
        </w:r>
      </w:hyperlink>
    </w:p>
    <w:p w14:paraId="198F88C9" w14:textId="77777777" w:rsidR="00F42E53" w:rsidRDefault="00F42E53">
      <w:pPr>
        <w:sectPr w:rsidR="00F42E53">
          <w:headerReference w:type="even" r:id="rId57"/>
          <w:headerReference w:type="default" r:id="rId58"/>
          <w:footerReference w:type="even" r:id="rId59"/>
          <w:footerReference w:type="default" r:id="rId60"/>
          <w:headerReference w:type="first" r:id="rId61"/>
          <w:footerReference w:type="first" r:id="rId62"/>
          <w:pgSz w:w="11911" w:h="16841"/>
          <w:pgMar w:top="1581" w:right="672" w:bottom="2236" w:left="619" w:header="720" w:footer="720" w:gutter="0"/>
          <w:cols w:space="720"/>
          <w:titlePg/>
        </w:sectPr>
      </w:pPr>
    </w:p>
    <w:p w14:paraId="327F436A" w14:textId="77777777" w:rsidR="00F42E53" w:rsidRDefault="002421D4">
      <w:pPr>
        <w:spacing w:after="0" w:line="259" w:lineRule="auto"/>
        <w:ind w:left="-1440" w:right="10471" w:firstLine="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6B82E035" wp14:editId="16E0464B">
                <wp:simplePos x="0" y="0"/>
                <wp:positionH relativeFrom="page">
                  <wp:posOffset>5079</wp:posOffset>
                </wp:positionH>
                <wp:positionV relativeFrom="page">
                  <wp:posOffset>0</wp:posOffset>
                </wp:positionV>
                <wp:extent cx="7557644" cy="10681970"/>
                <wp:effectExtent l="0" t="0" r="0" b="0"/>
                <wp:wrapTopAndBottom/>
                <wp:docPr id="29451" name="Group 29451"/>
                <wp:cNvGraphicFramePr/>
                <a:graphic xmlns:a="http://schemas.openxmlformats.org/drawingml/2006/main">
                  <a:graphicData uri="http://schemas.microsoft.com/office/word/2010/wordprocessingGroup">
                    <wpg:wgp>
                      <wpg:cNvGrpSpPr/>
                      <wpg:grpSpPr>
                        <a:xfrm>
                          <a:off x="0" y="0"/>
                          <a:ext cx="7557644" cy="10681970"/>
                          <a:chOff x="0" y="0"/>
                          <a:chExt cx="7557644" cy="10681970"/>
                        </a:xfrm>
                      </wpg:grpSpPr>
                      <wps:wsp>
                        <wps:cNvPr id="6105" name="Rectangle 6105"/>
                        <wps:cNvSpPr/>
                        <wps:spPr>
                          <a:xfrm>
                            <a:off x="388113" y="796"/>
                            <a:ext cx="33647" cy="229808"/>
                          </a:xfrm>
                          <a:prstGeom prst="rect">
                            <a:avLst/>
                          </a:prstGeom>
                          <a:ln>
                            <a:noFill/>
                          </a:ln>
                        </wps:spPr>
                        <wps:txbx>
                          <w:txbxContent>
                            <w:p w14:paraId="2ECE2CC7" w14:textId="77777777" w:rsidR="00F42E53" w:rsidRDefault="002421D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6107" name="Picture 6107"/>
                          <pic:cNvPicPr/>
                        </pic:nvPicPr>
                        <pic:blipFill>
                          <a:blip r:embed="rId63"/>
                          <a:stretch>
                            <a:fillRect/>
                          </a:stretch>
                        </pic:blipFill>
                        <pic:spPr>
                          <a:xfrm>
                            <a:off x="0" y="0"/>
                            <a:ext cx="7557644" cy="10681970"/>
                          </a:xfrm>
                          <a:prstGeom prst="rect">
                            <a:avLst/>
                          </a:prstGeom>
                        </pic:spPr>
                      </pic:pic>
                    </wpg:wgp>
                  </a:graphicData>
                </a:graphic>
              </wp:anchor>
            </w:drawing>
          </mc:Choice>
          <mc:Fallback xmlns:a="http://schemas.openxmlformats.org/drawingml/2006/main">
            <w:pict>
              <v:group id="Group 29451" style="width:595.09pt;height:841.1pt;position:absolute;mso-position-horizontal-relative:page;mso-position-horizontal:absolute;margin-left:0.39992pt;mso-position-vertical-relative:page;margin-top:-6.10352e-05pt;" coordsize="75576,106819">
                <v:rect id="Rectangle 6105" style="position:absolute;width:336;height:2298;left:3881;top:7;"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Picture 6107" style="position:absolute;width:75576;height:106819;left:0;top:0;" filled="f">
                  <v:imagedata r:id="rId64"/>
                </v:shape>
                <w10:wrap type="topAndBottom"/>
              </v:group>
            </w:pict>
          </mc:Fallback>
        </mc:AlternateContent>
      </w:r>
    </w:p>
    <w:sectPr w:rsidR="00F42E53">
      <w:headerReference w:type="even" r:id="rId65"/>
      <w:headerReference w:type="default" r:id="rId66"/>
      <w:footerReference w:type="even" r:id="rId67"/>
      <w:footerReference w:type="default" r:id="rId68"/>
      <w:headerReference w:type="first" r:id="rId69"/>
      <w:footerReference w:type="first" r:id="rId70"/>
      <w:pgSz w:w="11911" w:h="1684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BBB79" w14:textId="77777777" w:rsidR="002421D4" w:rsidRDefault="002421D4">
      <w:pPr>
        <w:spacing w:after="0" w:line="240" w:lineRule="auto"/>
      </w:pPr>
      <w:r>
        <w:separator/>
      </w:r>
    </w:p>
  </w:endnote>
  <w:endnote w:type="continuationSeparator" w:id="0">
    <w:p w14:paraId="7A9350F9" w14:textId="77777777" w:rsidR="002421D4" w:rsidRDefault="0024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6D4A" w14:textId="77777777" w:rsidR="00F42E53" w:rsidRDefault="002421D4">
    <w:pPr>
      <w:spacing w:after="76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9768B89" wp14:editId="53D40DB7">
              <wp:simplePos x="0" y="0"/>
              <wp:positionH relativeFrom="page">
                <wp:posOffset>289560</wp:posOffset>
              </wp:positionH>
              <wp:positionV relativeFrom="page">
                <wp:posOffset>9728797</wp:posOffset>
              </wp:positionV>
              <wp:extent cx="7000875" cy="12700"/>
              <wp:effectExtent l="0" t="0" r="0" b="0"/>
              <wp:wrapSquare wrapText="bothSides"/>
              <wp:docPr id="32881" name="Group 32881"/>
              <wp:cNvGraphicFramePr/>
              <a:graphic xmlns:a="http://schemas.openxmlformats.org/drawingml/2006/main">
                <a:graphicData uri="http://schemas.microsoft.com/office/word/2010/wordprocessingGroup">
                  <wpg:wgp>
                    <wpg:cNvGrpSpPr/>
                    <wpg:grpSpPr>
                      <a:xfrm>
                        <a:off x="0" y="0"/>
                        <a:ext cx="7000875" cy="12700"/>
                        <a:chOff x="0" y="0"/>
                        <a:chExt cx="7000875" cy="12700"/>
                      </a:xfrm>
                    </wpg:grpSpPr>
                    <wps:wsp>
                      <wps:cNvPr id="32882" name="Shape 32882"/>
                      <wps:cNvSpPr/>
                      <wps:spPr>
                        <a:xfrm>
                          <a:off x="0" y="0"/>
                          <a:ext cx="7000875" cy="0"/>
                        </a:xfrm>
                        <a:custGeom>
                          <a:avLst/>
                          <a:gdLst/>
                          <a:ahLst/>
                          <a:cxnLst/>
                          <a:rect l="0" t="0" r="0" b="0"/>
                          <a:pathLst>
                            <a:path w="7000875">
                              <a:moveTo>
                                <a:pt x="0" y="0"/>
                              </a:moveTo>
                              <a:lnTo>
                                <a:pt x="7000875" y="0"/>
                              </a:lnTo>
                            </a:path>
                          </a:pathLst>
                        </a:custGeom>
                        <a:ln w="12700" cap="flat">
                          <a:round/>
                        </a:ln>
                      </wps:spPr>
                      <wps:style>
                        <a:lnRef idx="1">
                          <a:srgbClr val="5B8A9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2881" style="width:551.25pt;height:1pt;position:absolute;mso-position-horizontal-relative:page;mso-position-horizontal:absolute;margin-left:22.8pt;mso-position-vertical-relative:page;margin-top:766.047pt;" coordsize="70008,127">
              <v:shape id="Shape 32882" style="position:absolute;width:70008;height:0;left:0;top:0;" coordsize="7000875,0" path="m0,0l7000875,0">
                <v:stroke weight="1pt" endcap="flat" joinstyle="round" on="true" color="#5b8a91"/>
                <v:fill on="false" color="#000000" opacity="0"/>
              </v:shape>
              <w10:wrap type="square"/>
            </v:group>
          </w:pict>
        </mc:Fallback>
      </mc:AlternateContent>
    </w:r>
    <w:r>
      <w:rPr>
        <w:rFonts w:ascii="Calibri" w:eastAsia="Calibri" w:hAnsi="Calibri" w:cs="Calibri"/>
        <w:sz w:val="22"/>
      </w:rPr>
      <w:t xml:space="preserve"> </w:t>
    </w:r>
  </w:p>
  <w:p w14:paraId="436A96FC" w14:textId="77777777" w:rsidR="00F42E53" w:rsidRDefault="002421D4">
    <w:pPr>
      <w:spacing w:after="0" w:line="393" w:lineRule="auto"/>
      <w:ind w:left="906" w:right="712" w:firstLine="0"/>
      <w:jc w:val="center"/>
    </w:pPr>
    <w:r>
      <w:rPr>
        <w:rFonts w:ascii="Calibri" w:eastAsia="Calibri" w:hAnsi="Calibri" w:cs="Calibri"/>
        <w:b/>
        <w:color w:val="5C8A91"/>
        <w:sz w:val="15"/>
      </w:rPr>
      <w:t>Document Name:</w:t>
    </w:r>
    <w:r>
      <w:rPr>
        <w:rFonts w:ascii="Calibri" w:eastAsia="Calibri" w:hAnsi="Calibri" w:cs="Calibri"/>
        <w:b/>
        <w:color w:val="592B86"/>
        <w:sz w:val="15"/>
      </w:rPr>
      <w:t xml:space="preserve"> </w:t>
    </w:r>
    <w:r>
      <w:rPr>
        <w:rFonts w:ascii="Calibri" w:eastAsia="Calibri" w:hAnsi="Calibri" w:cs="Calibri"/>
        <w:sz w:val="15"/>
      </w:rPr>
      <w:t xml:space="preserve">Data Protection Policy   </w:t>
    </w:r>
    <w:r>
      <w:rPr>
        <w:rFonts w:ascii="Calibri" w:eastAsia="Calibri" w:hAnsi="Calibri" w:cs="Calibri"/>
        <w:b/>
        <w:color w:val="5C8A91"/>
        <w:sz w:val="15"/>
      </w:rPr>
      <w:t>Document Type:</w:t>
    </w:r>
    <w:r>
      <w:rPr>
        <w:rFonts w:ascii="Calibri" w:eastAsia="Calibri" w:hAnsi="Calibri" w:cs="Calibri"/>
        <w:color w:val="592B86"/>
        <w:sz w:val="15"/>
      </w:rPr>
      <w:t xml:space="preserve"> </w:t>
    </w:r>
    <w:r>
      <w:rPr>
        <w:rFonts w:ascii="Calibri" w:eastAsia="Calibri" w:hAnsi="Calibri" w:cs="Calibri"/>
        <w:sz w:val="15"/>
      </w:rPr>
      <w:t xml:space="preserve">Data Protection Policy   </w:t>
    </w:r>
    <w:r>
      <w:rPr>
        <w:rFonts w:ascii="Calibri" w:eastAsia="Calibri" w:hAnsi="Calibri" w:cs="Calibri"/>
        <w:b/>
        <w:color w:val="5C8A91"/>
        <w:sz w:val="15"/>
      </w:rPr>
      <w:t xml:space="preserve">Policy Owner: </w:t>
    </w:r>
    <w:r>
      <w:rPr>
        <w:rFonts w:ascii="Calibri" w:eastAsia="Calibri" w:hAnsi="Calibri" w:cs="Calibri"/>
        <w:sz w:val="15"/>
      </w:rPr>
      <w:t xml:space="preserve">Data Protection Team    </w:t>
    </w:r>
    <w:r>
      <w:rPr>
        <w:rFonts w:ascii="Calibri" w:eastAsia="Calibri" w:hAnsi="Calibri" w:cs="Calibri"/>
        <w:b/>
        <w:color w:val="5C8A91"/>
        <w:sz w:val="15"/>
      </w:rPr>
      <w:t>Version Number:</w:t>
    </w:r>
    <w:r>
      <w:rPr>
        <w:rFonts w:ascii="Calibri" w:eastAsia="Calibri" w:hAnsi="Calibri" w:cs="Calibri"/>
        <w:color w:val="5C8A91"/>
        <w:sz w:val="15"/>
      </w:rPr>
      <w:t xml:space="preserve"> </w:t>
    </w:r>
    <w:r>
      <w:rPr>
        <w:rFonts w:ascii="Calibri" w:eastAsia="Calibri" w:hAnsi="Calibri" w:cs="Calibri"/>
        <w:sz w:val="15"/>
      </w:rPr>
      <w:t xml:space="preserve">4.1   </w:t>
    </w:r>
    <w:r>
      <w:rPr>
        <w:rFonts w:ascii="Calibri" w:eastAsia="Calibri" w:hAnsi="Calibri" w:cs="Calibri"/>
        <w:b/>
        <w:color w:val="5C8A91"/>
        <w:sz w:val="15"/>
      </w:rPr>
      <w:t>Last Review Date</w:t>
    </w:r>
    <w:r>
      <w:rPr>
        <w:rFonts w:ascii="Calibri" w:eastAsia="Calibri" w:hAnsi="Calibri" w:cs="Calibri"/>
        <w:color w:val="5C8A91"/>
        <w:sz w:val="15"/>
      </w:rPr>
      <w:t>:</w:t>
    </w:r>
    <w:r>
      <w:rPr>
        <w:rFonts w:ascii="Calibri" w:eastAsia="Calibri" w:hAnsi="Calibri" w:cs="Calibri"/>
        <w:color w:val="592B86"/>
        <w:sz w:val="15"/>
      </w:rPr>
      <w:t xml:space="preserve"> </w:t>
    </w:r>
    <w:r>
      <w:rPr>
        <w:rFonts w:ascii="Calibri" w:eastAsia="Calibri" w:hAnsi="Calibri" w:cs="Calibri"/>
        <w:sz w:val="15"/>
      </w:rPr>
      <w:t xml:space="preserve">June 2023  </w:t>
    </w:r>
    <w:r>
      <w:rPr>
        <w:rFonts w:ascii="Calibri" w:eastAsia="Calibri" w:hAnsi="Calibri" w:cs="Calibri"/>
        <w:b/>
        <w:sz w:val="15"/>
      </w:rPr>
      <w:t xml:space="preserve"> </w:t>
    </w:r>
    <w:r>
      <w:rPr>
        <w:rFonts w:ascii="Calibri" w:eastAsia="Calibri" w:hAnsi="Calibri" w:cs="Calibri"/>
        <w:b/>
        <w:color w:val="5C8A91"/>
        <w:sz w:val="15"/>
      </w:rPr>
      <w:t>Next Review Date:</w:t>
    </w:r>
    <w:r>
      <w:rPr>
        <w:rFonts w:ascii="Calibri" w:eastAsia="Calibri" w:hAnsi="Calibri" w:cs="Calibri"/>
        <w:b/>
        <w:color w:val="592B86"/>
        <w:sz w:val="15"/>
      </w:rPr>
      <w:t xml:space="preserve"> </w:t>
    </w:r>
    <w:r>
      <w:rPr>
        <w:rFonts w:ascii="Calibri" w:eastAsia="Calibri" w:hAnsi="Calibri" w:cs="Calibri"/>
        <w:sz w:val="15"/>
      </w:rPr>
      <w:t xml:space="preserve">Every Two Years     </w:t>
    </w:r>
  </w:p>
  <w:p w14:paraId="6B2F18FC" w14:textId="77777777" w:rsidR="00F42E53" w:rsidRDefault="002421D4">
    <w:pPr>
      <w:spacing w:after="0" w:line="259" w:lineRule="auto"/>
      <w:ind w:left="103" w:firstLine="0"/>
      <w:jc w:val="center"/>
    </w:pPr>
    <w:r>
      <w:rPr>
        <w:rFonts w:ascii="Calibri" w:eastAsia="Calibri" w:hAnsi="Calibri" w:cs="Calibri"/>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E840" w14:textId="77777777" w:rsidR="00F42E53" w:rsidRDefault="002421D4">
    <w:pPr>
      <w:spacing w:after="76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91F0491" wp14:editId="05FEF569">
              <wp:simplePos x="0" y="0"/>
              <wp:positionH relativeFrom="page">
                <wp:posOffset>289560</wp:posOffset>
              </wp:positionH>
              <wp:positionV relativeFrom="page">
                <wp:posOffset>9728797</wp:posOffset>
              </wp:positionV>
              <wp:extent cx="7000875" cy="12700"/>
              <wp:effectExtent l="0" t="0" r="0" b="0"/>
              <wp:wrapSquare wrapText="bothSides"/>
              <wp:docPr id="32828" name="Group 32828"/>
              <wp:cNvGraphicFramePr/>
              <a:graphic xmlns:a="http://schemas.openxmlformats.org/drawingml/2006/main">
                <a:graphicData uri="http://schemas.microsoft.com/office/word/2010/wordprocessingGroup">
                  <wpg:wgp>
                    <wpg:cNvGrpSpPr/>
                    <wpg:grpSpPr>
                      <a:xfrm>
                        <a:off x="0" y="0"/>
                        <a:ext cx="7000875" cy="12700"/>
                        <a:chOff x="0" y="0"/>
                        <a:chExt cx="7000875" cy="12700"/>
                      </a:xfrm>
                    </wpg:grpSpPr>
                    <wps:wsp>
                      <wps:cNvPr id="32829" name="Shape 32829"/>
                      <wps:cNvSpPr/>
                      <wps:spPr>
                        <a:xfrm>
                          <a:off x="0" y="0"/>
                          <a:ext cx="7000875" cy="0"/>
                        </a:xfrm>
                        <a:custGeom>
                          <a:avLst/>
                          <a:gdLst/>
                          <a:ahLst/>
                          <a:cxnLst/>
                          <a:rect l="0" t="0" r="0" b="0"/>
                          <a:pathLst>
                            <a:path w="7000875">
                              <a:moveTo>
                                <a:pt x="0" y="0"/>
                              </a:moveTo>
                              <a:lnTo>
                                <a:pt x="7000875" y="0"/>
                              </a:lnTo>
                            </a:path>
                          </a:pathLst>
                        </a:custGeom>
                        <a:ln w="12700" cap="flat">
                          <a:round/>
                        </a:ln>
                      </wps:spPr>
                      <wps:style>
                        <a:lnRef idx="1">
                          <a:srgbClr val="5B8A9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2828" style="width:551.25pt;height:1pt;position:absolute;mso-position-horizontal-relative:page;mso-position-horizontal:absolute;margin-left:22.8pt;mso-position-vertical-relative:page;margin-top:766.047pt;" coordsize="70008,127">
              <v:shape id="Shape 32829" style="position:absolute;width:70008;height:0;left:0;top:0;" coordsize="7000875,0" path="m0,0l7000875,0">
                <v:stroke weight="1pt" endcap="flat" joinstyle="round" on="true" color="#5b8a91"/>
                <v:fill on="false" color="#000000" opacity="0"/>
              </v:shape>
              <w10:wrap type="square"/>
            </v:group>
          </w:pict>
        </mc:Fallback>
      </mc:AlternateContent>
    </w:r>
    <w:r>
      <w:rPr>
        <w:rFonts w:ascii="Calibri" w:eastAsia="Calibri" w:hAnsi="Calibri" w:cs="Calibri"/>
        <w:sz w:val="22"/>
      </w:rPr>
      <w:t xml:space="preserve"> </w:t>
    </w:r>
  </w:p>
  <w:p w14:paraId="0892D5CA" w14:textId="666E2C03" w:rsidR="00F42E53" w:rsidRDefault="002421D4">
    <w:pPr>
      <w:spacing w:after="0" w:line="393" w:lineRule="auto"/>
      <w:ind w:left="906" w:right="712" w:firstLine="0"/>
      <w:jc w:val="center"/>
    </w:pPr>
    <w:r>
      <w:rPr>
        <w:rFonts w:ascii="Calibri" w:eastAsia="Calibri" w:hAnsi="Calibri" w:cs="Calibri"/>
        <w:b/>
        <w:color w:val="5C8A91"/>
        <w:sz w:val="15"/>
      </w:rPr>
      <w:t>Document Name:</w:t>
    </w:r>
    <w:r>
      <w:rPr>
        <w:rFonts w:ascii="Calibri" w:eastAsia="Calibri" w:hAnsi="Calibri" w:cs="Calibri"/>
        <w:b/>
        <w:color w:val="592B86"/>
        <w:sz w:val="15"/>
      </w:rPr>
      <w:t xml:space="preserve"> </w:t>
    </w:r>
    <w:r>
      <w:rPr>
        <w:rFonts w:ascii="Calibri" w:eastAsia="Calibri" w:hAnsi="Calibri" w:cs="Calibri"/>
        <w:sz w:val="15"/>
      </w:rPr>
      <w:t xml:space="preserve">Data Protection Policy   </w:t>
    </w:r>
    <w:r>
      <w:rPr>
        <w:rFonts w:ascii="Calibri" w:eastAsia="Calibri" w:hAnsi="Calibri" w:cs="Calibri"/>
        <w:b/>
        <w:color w:val="5C8A91"/>
        <w:sz w:val="15"/>
      </w:rPr>
      <w:t>Document Type:</w:t>
    </w:r>
    <w:r>
      <w:rPr>
        <w:rFonts w:ascii="Calibri" w:eastAsia="Calibri" w:hAnsi="Calibri" w:cs="Calibri"/>
        <w:color w:val="592B86"/>
        <w:sz w:val="15"/>
      </w:rPr>
      <w:t xml:space="preserve"> </w:t>
    </w:r>
    <w:r>
      <w:rPr>
        <w:rFonts w:ascii="Calibri" w:eastAsia="Calibri" w:hAnsi="Calibri" w:cs="Calibri"/>
        <w:sz w:val="15"/>
      </w:rPr>
      <w:t xml:space="preserve">Data Protection Policy   </w:t>
    </w:r>
    <w:r>
      <w:rPr>
        <w:rFonts w:ascii="Calibri" w:eastAsia="Calibri" w:hAnsi="Calibri" w:cs="Calibri"/>
        <w:b/>
        <w:color w:val="5C8A91"/>
        <w:sz w:val="15"/>
      </w:rPr>
      <w:t xml:space="preserve">Policy Owner: </w:t>
    </w:r>
    <w:r>
      <w:rPr>
        <w:rFonts w:ascii="Calibri" w:eastAsia="Calibri" w:hAnsi="Calibri" w:cs="Calibri"/>
        <w:sz w:val="15"/>
      </w:rPr>
      <w:t xml:space="preserve">Data Protection Team    </w:t>
    </w:r>
    <w:r>
      <w:rPr>
        <w:rFonts w:ascii="Calibri" w:eastAsia="Calibri" w:hAnsi="Calibri" w:cs="Calibri"/>
        <w:b/>
        <w:color w:val="5C8A91"/>
        <w:sz w:val="15"/>
      </w:rPr>
      <w:t>Version Number:</w:t>
    </w:r>
    <w:r>
      <w:rPr>
        <w:rFonts w:ascii="Calibri" w:eastAsia="Calibri" w:hAnsi="Calibri" w:cs="Calibri"/>
        <w:color w:val="5C8A91"/>
        <w:sz w:val="15"/>
      </w:rPr>
      <w:t xml:space="preserve"> </w:t>
    </w:r>
    <w:r>
      <w:rPr>
        <w:rFonts w:ascii="Calibri" w:eastAsia="Calibri" w:hAnsi="Calibri" w:cs="Calibri"/>
        <w:sz w:val="15"/>
      </w:rPr>
      <w:t xml:space="preserve">4.1   </w:t>
    </w:r>
    <w:r>
      <w:rPr>
        <w:rFonts w:ascii="Calibri" w:eastAsia="Calibri" w:hAnsi="Calibri" w:cs="Calibri"/>
        <w:b/>
        <w:color w:val="5C8A91"/>
        <w:sz w:val="15"/>
      </w:rPr>
      <w:t>Last Review Date</w:t>
    </w:r>
    <w:r>
      <w:rPr>
        <w:rFonts w:ascii="Calibri" w:eastAsia="Calibri" w:hAnsi="Calibri" w:cs="Calibri"/>
        <w:color w:val="5C8A91"/>
        <w:sz w:val="15"/>
      </w:rPr>
      <w:t>:</w:t>
    </w:r>
    <w:r>
      <w:rPr>
        <w:rFonts w:ascii="Calibri" w:eastAsia="Calibri" w:hAnsi="Calibri" w:cs="Calibri"/>
        <w:color w:val="592B86"/>
        <w:sz w:val="15"/>
      </w:rPr>
      <w:t xml:space="preserve"> </w:t>
    </w:r>
    <w:r>
      <w:rPr>
        <w:rFonts w:ascii="Calibri" w:eastAsia="Calibri" w:hAnsi="Calibri" w:cs="Calibri"/>
        <w:sz w:val="15"/>
      </w:rPr>
      <w:t>June 2024</w:t>
    </w:r>
    <w:r>
      <w:rPr>
        <w:rFonts w:ascii="Calibri" w:eastAsia="Calibri" w:hAnsi="Calibri" w:cs="Calibri"/>
        <w:sz w:val="15"/>
      </w:rPr>
      <w:t xml:space="preserve">  </w:t>
    </w:r>
    <w:r>
      <w:rPr>
        <w:rFonts w:ascii="Calibri" w:eastAsia="Calibri" w:hAnsi="Calibri" w:cs="Calibri"/>
        <w:b/>
        <w:sz w:val="15"/>
      </w:rPr>
      <w:t xml:space="preserve"> </w:t>
    </w:r>
    <w:r>
      <w:rPr>
        <w:rFonts w:ascii="Calibri" w:eastAsia="Calibri" w:hAnsi="Calibri" w:cs="Calibri"/>
        <w:b/>
        <w:color w:val="5C8A91"/>
        <w:sz w:val="15"/>
      </w:rPr>
      <w:t>Next Review Date:</w:t>
    </w:r>
    <w:r>
      <w:rPr>
        <w:rFonts w:ascii="Calibri" w:eastAsia="Calibri" w:hAnsi="Calibri" w:cs="Calibri"/>
        <w:b/>
        <w:color w:val="592B86"/>
        <w:sz w:val="15"/>
      </w:rPr>
      <w:t xml:space="preserve"> </w:t>
    </w:r>
    <w:r>
      <w:rPr>
        <w:rFonts w:ascii="Calibri" w:eastAsia="Calibri" w:hAnsi="Calibri" w:cs="Calibri"/>
        <w:sz w:val="15"/>
      </w:rPr>
      <w:t xml:space="preserve">Every Two Years     </w:t>
    </w:r>
  </w:p>
  <w:p w14:paraId="04206780" w14:textId="77777777" w:rsidR="00F42E53" w:rsidRDefault="002421D4">
    <w:pPr>
      <w:spacing w:after="0" w:line="259" w:lineRule="auto"/>
      <w:ind w:left="103" w:firstLine="0"/>
      <w:jc w:val="center"/>
    </w:pPr>
    <w:r>
      <w:rPr>
        <w:rFonts w:ascii="Calibri" w:eastAsia="Calibri" w:hAnsi="Calibri" w:cs="Calibri"/>
        <w:sz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4C78" w14:textId="77777777" w:rsidR="00F42E53" w:rsidRDefault="00F42E53">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6F70" w14:textId="77777777" w:rsidR="00F42E53" w:rsidRDefault="00F42E53">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45B3" w14:textId="77777777" w:rsidR="00F42E53" w:rsidRDefault="00F42E53">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5AEE" w14:textId="77777777" w:rsidR="00F42E53" w:rsidRDefault="00F42E5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00C5" w14:textId="77777777" w:rsidR="002421D4" w:rsidRDefault="002421D4">
      <w:pPr>
        <w:spacing w:after="0" w:line="240" w:lineRule="auto"/>
      </w:pPr>
      <w:r>
        <w:separator/>
      </w:r>
    </w:p>
  </w:footnote>
  <w:footnote w:type="continuationSeparator" w:id="0">
    <w:p w14:paraId="1A5828A5" w14:textId="77777777" w:rsidR="002421D4" w:rsidRDefault="00242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8DF0" w14:textId="77777777" w:rsidR="00F42E53" w:rsidRDefault="002421D4">
    <w:pPr>
      <w:spacing w:after="0" w:line="259" w:lineRule="auto"/>
      <w:ind w:left="376" w:firstLine="0"/>
      <w:jc w:val="left"/>
    </w:pPr>
    <w:r>
      <w:rPr>
        <w:noProof/>
      </w:rPr>
      <w:drawing>
        <wp:anchor distT="0" distB="0" distL="114300" distR="114300" simplePos="0" relativeHeight="251658240" behindDoc="0" locked="0" layoutInCell="1" allowOverlap="0" wp14:anchorId="37937807" wp14:editId="2F70790B">
          <wp:simplePos x="0" y="0"/>
          <wp:positionH relativeFrom="page">
            <wp:posOffset>631825</wp:posOffset>
          </wp:positionH>
          <wp:positionV relativeFrom="page">
            <wp:posOffset>193666</wp:posOffset>
          </wp:positionV>
          <wp:extent cx="1947994" cy="713673"/>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947994" cy="713673"/>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4E80" w14:textId="77777777" w:rsidR="00F42E53" w:rsidRDefault="002421D4">
    <w:pPr>
      <w:spacing w:after="0" w:line="259" w:lineRule="auto"/>
      <w:ind w:left="376" w:firstLine="0"/>
      <w:jc w:val="left"/>
    </w:pPr>
    <w:r>
      <w:rPr>
        <w:noProof/>
      </w:rPr>
      <w:drawing>
        <wp:anchor distT="0" distB="0" distL="114300" distR="114300" simplePos="0" relativeHeight="251659264" behindDoc="0" locked="0" layoutInCell="1" allowOverlap="0" wp14:anchorId="08E07883" wp14:editId="267BE114">
          <wp:simplePos x="0" y="0"/>
          <wp:positionH relativeFrom="page">
            <wp:posOffset>631825</wp:posOffset>
          </wp:positionH>
          <wp:positionV relativeFrom="page">
            <wp:posOffset>193666</wp:posOffset>
          </wp:positionV>
          <wp:extent cx="1947994" cy="713673"/>
          <wp:effectExtent l="0" t="0" r="0" b="0"/>
          <wp:wrapSquare wrapText="bothSides"/>
          <wp:docPr id="147268585" name="Picture 147268585"/>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947994" cy="713673"/>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CEB6" w14:textId="77777777" w:rsidR="00F42E53" w:rsidRDefault="00F42E53">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2AD8" w14:textId="77777777" w:rsidR="00F42E53" w:rsidRDefault="00F42E53">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BF4A" w14:textId="77777777" w:rsidR="00F42E53" w:rsidRDefault="00F42E53">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EBD0" w14:textId="77777777" w:rsidR="00F42E53" w:rsidRDefault="00F42E5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EF2"/>
    <w:multiLevelType w:val="hybridMultilevel"/>
    <w:tmpl w:val="B1B4F800"/>
    <w:lvl w:ilvl="0" w:tplc="C070210C">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761B14">
      <w:start w:val="1"/>
      <w:numFmt w:val="lowerRoman"/>
      <w:lvlText w:val="%2."/>
      <w:lvlJc w:val="left"/>
      <w:pPr>
        <w:ind w:left="1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8683C4">
      <w:start w:val="1"/>
      <w:numFmt w:val="lowerRoman"/>
      <w:lvlText w:val="%3"/>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F85D06">
      <w:start w:val="1"/>
      <w:numFmt w:val="decimal"/>
      <w:lvlText w:val="%4"/>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EE47A6">
      <w:start w:val="1"/>
      <w:numFmt w:val="lowerLetter"/>
      <w:lvlText w:val="%5"/>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FED38E">
      <w:start w:val="1"/>
      <w:numFmt w:val="lowerRoman"/>
      <w:lvlText w:val="%6"/>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62BC38">
      <w:start w:val="1"/>
      <w:numFmt w:val="decimal"/>
      <w:lvlText w:val="%7"/>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AC720A">
      <w:start w:val="1"/>
      <w:numFmt w:val="lowerLetter"/>
      <w:lvlText w:val="%8"/>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6A9FEA">
      <w:start w:val="1"/>
      <w:numFmt w:val="lowerRoman"/>
      <w:lvlText w:val="%9"/>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7621FB"/>
    <w:multiLevelType w:val="hybridMultilevel"/>
    <w:tmpl w:val="99467D46"/>
    <w:lvl w:ilvl="0" w:tplc="71F2C052">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506C0C">
      <w:start w:val="1"/>
      <w:numFmt w:val="bullet"/>
      <w:lvlText w:val="o"/>
      <w:lvlJc w:val="left"/>
      <w:pPr>
        <w:ind w:left="1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7E74F8">
      <w:start w:val="1"/>
      <w:numFmt w:val="bullet"/>
      <w:lvlText w:val="▪"/>
      <w:lvlJc w:val="left"/>
      <w:pPr>
        <w:ind w:left="2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40B9C8">
      <w:start w:val="1"/>
      <w:numFmt w:val="bullet"/>
      <w:lvlText w:val="•"/>
      <w:lvlJc w:val="left"/>
      <w:pPr>
        <w:ind w:left="2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E80F68">
      <w:start w:val="1"/>
      <w:numFmt w:val="bullet"/>
      <w:lvlText w:val="o"/>
      <w:lvlJc w:val="left"/>
      <w:pPr>
        <w:ind w:left="3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6CA4AE">
      <w:start w:val="1"/>
      <w:numFmt w:val="bullet"/>
      <w:lvlText w:val="▪"/>
      <w:lvlJc w:val="left"/>
      <w:pPr>
        <w:ind w:left="4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A6D0D6">
      <w:start w:val="1"/>
      <w:numFmt w:val="bullet"/>
      <w:lvlText w:val="•"/>
      <w:lvlJc w:val="left"/>
      <w:pPr>
        <w:ind w:left="5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5439F0">
      <w:start w:val="1"/>
      <w:numFmt w:val="bullet"/>
      <w:lvlText w:val="o"/>
      <w:lvlJc w:val="left"/>
      <w:pPr>
        <w:ind w:left="5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0A9E9C">
      <w:start w:val="1"/>
      <w:numFmt w:val="bullet"/>
      <w:lvlText w:val="▪"/>
      <w:lvlJc w:val="left"/>
      <w:pPr>
        <w:ind w:left="6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AA08AC"/>
    <w:multiLevelType w:val="hybridMultilevel"/>
    <w:tmpl w:val="D2DE4882"/>
    <w:lvl w:ilvl="0" w:tplc="F00A5446">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68D8D2">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60E526">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74D414">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242098">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FC81F6">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7C5CCA">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AC4FA4">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A8ECA0">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1D47D5"/>
    <w:multiLevelType w:val="hybridMultilevel"/>
    <w:tmpl w:val="FF12EADE"/>
    <w:lvl w:ilvl="0" w:tplc="CD224F7C">
      <w:start w:val="1"/>
      <w:numFmt w:val="upperRoman"/>
      <w:lvlText w:val="%1."/>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88ADC2">
      <w:start w:val="1"/>
      <w:numFmt w:val="lowerLetter"/>
      <w:lvlText w:val="%2"/>
      <w:lvlJc w:val="left"/>
      <w:pPr>
        <w:ind w:left="1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187D92">
      <w:start w:val="1"/>
      <w:numFmt w:val="lowerRoman"/>
      <w:lvlText w:val="%3"/>
      <w:lvlJc w:val="left"/>
      <w:pPr>
        <w:ind w:left="1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B841F0">
      <w:start w:val="1"/>
      <w:numFmt w:val="decimal"/>
      <w:lvlText w:val="%4"/>
      <w:lvlJc w:val="left"/>
      <w:pPr>
        <w:ind w:left="2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42A782">
      <w:start w:val="1"/>
      <w:numFmt w:val="lowerLetter"/>
      <w:lvlText w:val="%5"/>
      <w:lvlJc w:val="left"/>
      <w:pPr>
        <w:ind w:left="3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1C4D00">
      <w:start w:val="1"/>
      <w:numFmt w:val="lowerRoman"/>
      <w:lvlText w:val="%6"/>
      <w:lvlJc w:val="left"/>
      <w:pPr>
        <w:ind w:left="4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7411A6">
      <w:start w:val="1"/>
      <w:numFmt w:val="decimal"/>
      <w:lvlText w:val="%7"/>
      <w:lvlJc w:val="left"/>
      <w:pPr>
        <w:ind w:left="4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5440DC">
      <w:start w:val="1"/>
      <w:numFmt w:val="lowerLetter"/>
      <w:lvlText w:val="%8"/>
      <w:lvlJc w:val="left"/>
      <w:pPr>
        <w:ind w:left="5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266664">
      <w:start w:val="1"/>
      <w:numFmt w:val="lowerRoman"/>
      <w:lvlText w:val="%9"/>
      <w:lvlJc w:val="left"/>
      <w:pPr>
        <w:ind w:left="6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3D340B"/>
    <w:multiLevelType w:val="hybridMultilevel"/>
    <w:tmpl w:val="6E74C082"/>
    <w:lvl w:ilvl="0" w:tplc="BA32833C">
      <w:start w:val="1"/>
      <w:numFmt w:val="bullet"/>
      <w:lvlText w:val="•"/>
      <w:lvlJc w:val="left"/>
      <w:pPr>
        <w:ind w:left="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A2E33E">
      <w:start w:val="1"/>
      <w:numFmt w:val="bullet"/>
      <w:lvlText w:val="o"/>
      <w:lvlJc w:val="left"/>
      <w:pPr>
        <w:ind w:left="1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F0DF82">
      <w:start w:val="1"/>
      <w:numFmt w:val="bullet"/>
      <w:lvlText w:val="▪"/>
      <w:lvlJc w:val="left"/>
      <w:pPr>
        <w:ind w:left="23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E4F9E6">
      <w:start w:val="1"/>
      <w:numFmt w:val="bullet"/>
      <w:lvlText w:val="•"/>
      <w:lvlJc w:val="left"/>
      <w:pPr>
        <w:ind w:left="3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B65EC6">
      <w:start w:val="1"/>
      <w:numFmt w:val="bullet"/>
      <w:lvlText w:val="o"/>
      <w:lvlJc w:val="left"/>
      <w:pPr>
        <w:ind w:left="3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AEB0BC">
      <w:start w:val="1"/>
      <w:numFmt w:val="bullet"/>
      <w:lvlText w:val="▪"/>
      <w:lvlJc w:val="left"/>
      <w:pPr>
        <w:ind w:left="4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C27398">
      <w:start w:val="1"/>
      <w:numFmt w:val="bullet"/>
      <w:lvlText w:val="•"/>
      <w:lvlJc w:val="left"/>
      <w:pPr>
        <w:ind w:left="5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16AC30">
      <w:start w:val="1"/>
      <w:numFmt w:val="bullet"/>
      <w:lvlText w:val="o"/>
      <w:lvlJc w:val="left"/>
      <w:pPr>
        <w:ind w:left="59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AEE686">
      <w:start w:val="1"/>
      <w:numFmt w:val="bullet"/>
      <w:lvlText w:val="▪"/>
      <w:lvlJc w:val="left"/>
      <w:pPr>
        <w:ind w:left="6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E31680D"/>
    <w:multiLevelType w:val="hybridMultilevel"/>
    <w:tmpl w:val="F69A2100"/>
    <w:lvl w:ilvl="0" w:tplc="5040F80A">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20AC08">
      <w:start w:val="1"/>
      <w:numFmt w:val="bullet"/>
      <w:lvlText w:val="o"/>
      <w:lvlJc w:val="left"/>
      <w:pPr>
        <w:ind w:left="1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BE7E02">
      <w:start w:val="1"/>
      <w:numFmt w:val="bullet"/>
      <w:lvlText w:val="▪"/>
      <w:lvlJc w:val="left"/>
      <w:pPr>
        <w:ind w:left="23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2A8C3C">
      <w:start w:val="1"/>
      <w:numFmt w:val="bullet"/>
      <w:lvlText w:val="•"/>
      <w:lvlJc w:val="left"/>
      <w:pPr>
        <w:ind w:left="3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B0C122">
      <w:start w:val="1"/>
      <w:numFmt w:val="bullet"/>
      <w:lvlText w:val="o"/>
      <w:lvlJc w:val="left"/>
      <w:pPr>
        <w:ind w:left="3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9E9108">
      <w:start w:val="1"/>
      <w:numFmt w:val="bullet"/>
      <w:lvlText w:val="▪"/>
      <w:lvlJc w:val="left"/>
      <w:pPr>
        <w:ind w:left="4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BCAE8A">
      <w:start w:val="1"/>
      <w:numFmt w:val="bullet"/>
      <w:lvlText w:val="•"/>
      <w:lvlJc w:val="left"/>
      <w:pPr>
        <w:ind w:left="5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3A6644">
      <w:start w:val="1"/>
      <w:numFmt w:val="bullet"/>
      <w:lvlText w:val="o"/>
      <w:lvlJc w:val="left"/>
      <w:pPr>
        <w:ind w:left="59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069218">
      <w:start w:val="1"/>
      <w:numFmt w:val="bullet"/>
      <w:lvlText w:val="▪"/>
      <w:lvlJc w:val="left"/>
      <w:pPr>
        <w:ind w:left="67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2177D2"/>
    <w:multiLevelType w:val="hybridMultilevel"/>
    <w:tmpl w:val="1804B77A"/>
    <w:lvl w:ilvl="0" w:tplc="711228BC">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787146">
      <w:start w:val="1"/>
      <w:numFmt w:val="bullet"/>
      <w:lvlText w:val="o"/>
      <w:lvlJc w:val="left"/>
      <w:pPr>
        <w:ind w:left="1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62604E">
      <w:start w:val="1"/>
      <w:numFmt w:val="bullet"/>
      <w:lvlText w:val="▪"/>
      <w:lvlJc w:val="left"/>
      <w:pPr>
        <w:ind w:left="22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AA4C02">
      <w:start w:val="1"/>
      <w:numFmt w:val="bullet"/>
      <w:lvlText w:val="•"/>
      <w:lvlJc w:val="left"/>
      <w:pPr>
        <w:ind w:left="2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54F942">
      <w:start w:val="1"/>
      <w:numFmt w:val="bullet"/>
      <w:lvlText w:val="o"/>
      <w:lvlJc w:val="left"/>
      <w:pPr>
        <w:ind w:left="3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74019C">
      <w:start w:val="1"/>
      <w:numFmt w:val="bullet"/>
      <w:lvlText w:val="▪"/>
      <w:lvlJc w:val="left"/>
      <w:pPr>
        <w:ind w:left="43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5E118A">
      <w:start w:val="1"/>
      <w:numFmt w:val="bullet"/>
      <w:lvlText w:val="•"/>
      <w:lvlJc w:val="left"/>
      <w:pPr>
        <w:ind w:left="5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F63CC8">
      <w:start w:val="1"/>
      <w:numFmt w:val="bullet"/>
      <w:lvlText w:val="o"/>
      <w:lvlJc w:val="left"/>
      <w:pPr>
        <w:ind w:left="58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A4E03A">
      <w:start w:val="1"/>
      <w:numFmt w:val="bullet"/>
      <w:lvlText w:val="▪"/>
      <w:lvlJc w:val="left"/>
      <w:pPr>
        <w:ind w:left="6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F77169"/>
    <w:multiLevelType w:val="hybridMultilevel"/>
    <w:tmpl w:val="3F0408D4"/>
    <w:lvl w:ilvl="0" w:tplc="1F52F052">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A4D31E">
      <w:start w:val="1"/>
      <w:numFmt w:val="bullet"/>
      <w:lvlText w:val="o"/>
      <w:lvlJc w:val="left"/>
      <w:pPr>
        <w:ind w:left="1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4A8E70">
      <w:start w:val="1"/>
      <w:numFmt w:val="bullet"/>
      <w:lvlText w:val="▪"/>
      <w:lvlJc w:val="left"/>
      <w:pPr>
        <w:ind w:left="2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7EA6DC">
      <w:start w:val="1"/>
      <w:numFmt w:val="bullet"/>
      <w:lvlText w:val="•"/>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D469AA">
      <w:start w:val="1"/>
      <w:numFmt w:val="bullet"/>
      <w:lvlText w:val="o"/>
      <w:lvlJc w:val="left"/>
      <w:pPr>
        <w:ind w:left="3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260A14">
      <w:start w:val="1"/>
      <w:numFmt w:val="bullet"/>
      <w:lvlText w:val="▪"/>
      <w:lvlJc w:val="left"/>
      <w:pPr>
        <w:ind w:left="43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640A8A">
      <w:start w:val="1"/>
      <w:numFmt w:val="bullet"/>
      <w:lvlText w:val="•"/>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665BF4">
      <w:start w:val="1"/>
      <w:numFmt w:val="bullet"/>
      <w:lvlText w:val="o"/>
      <w:lvlJc w:val="left"/>
      <w:pPr>
        <w:ind w:left="5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20CB4E">
      <w:start w:val="1"/>
      <w:numFmt w:val="bullet"/>
      <w:lvlText w:val="▪"/>
      <w:lvlJc w:val="left"/>
      <w:pPr>
        <w:ind w:left="6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31A1A95"/>
    <w:multiLevelType w:val="hybridMultilevel"/>
    <w:tmpl w:val="1E20F7DC"/>
    <w:lvl w:ilvl="0" w:tplc="6C1E4608">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D04A6E">
      <w:start w:val="1"/>
      <w:numFmt w:val="bullet"/>
      <w:lvlText w:val="o"/>
      <w:lvlJc w:val="left"/>
      <w:pPr>
        <w:ind w:left="1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0CF0A4">
      <w:start w:val="1"/>
      <w:numFmt w:val="bullet"/>
      <w:lvlText w:val="▪"/>
      <w:lvlJc w:val="left"/>
      <w:pPr>
        <w:ind w:left="2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58A1D8">
      <w:start w:val="1"/>
      <w:numFmt w:val="bullet"/>
      <w:lvlText w:val="•"/>
      <w:lvlJc w:val="left"/>
      <w:pPr>
        <w:ind w:left="2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EC4758">
      <w:start w:val="1"/>
      <w:numFmt w:val="bullet"/>
      <w:lvlText w:val="o"/>
      <w:lvlJc w:val="left"/>
      <w:pPr>
        <w:ind w:left="3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3CDFEA">
      <w:start w:val="1"/>
      <w:numFmt w:val="bullet"/>
      <w:lvlText w:val="▪"/>
      <w:lvlJc w:val="left"/>
      <w:pPr>
        <w:ind w:left="4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74CFBA">
      <w:start w:val="1"/>
      <w:numFmt w:val="bullet"/>
      <w:lvlText w:val="•"/>
      <w:lvlJc w:val="left"/>
      <w:pPr>
        <w:ind w:left="5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B0956E">
      <w:start w:val="1"/>
      <w:numFmt w:val="bullet"/>
      <w:lvlText w:val="o"/>
      <w:lvlJc w:val="left"/>
      <w:pPr>
        <w:ind w:left="5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C6ED88">
      <w:start w:val="1"/>
      <w:numFmt w:val="bullet"/>
      <w:lvlText w:val="▪"/>
      <w:lvlJc w:val="left"/>
      <w:pPr>
        <w:ind w:left="6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E91F6C"/>
    <w:multiLevelType w:val="hybridMultilevel"/>
    <w:tmpl w:val="61068E16"/>
    <w:lvl w:ilvl="0" w:tplc="66AAEB58">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18F370">
      <w:start w:val="1"/>
      <w:numFmt w:val="bullet"/>
      <w:lvlText w:val="o"/>
      <w:lvlJc w:val="left"/>
      <w:pPr>
        <w:ind w:left="1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682670">
      <w:start w:val="1"/>
      <w:numFmt w:val="bullet"/>
      <w:lvlText w:val="▪"/>
      <w:lvlJc w:val="left"/>
      <w:pPr>
        <w:ind w:left="2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387612">
      <w:start w:val="1"/>
      <w:numFmt w:val="bullet"/>
      <w:lvlText w:val="•"/>
      <w:lvlJc w:val="left"/>
      <w:pPr>
        <w:ind w:left="2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52A75E">
      <w:start w:val="1"/>
      <w:numFmt w:val="bullet"/>
      <w:lvlText w:val="o"/>
      <w:lvlJc w:val="left"/>
      <w:pPr>
        <w:ind w:left="3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4C665C">
      <w:start w:val="1"/>
      <w:numFmt w:val="bullet"/>
      <w:lvlText w:val="▪"/>
      <w:lvlJc w:val="left"/>
      <w:pPr>
        <w:ind w:left="4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90DDAA">
      <w:start w:val="1"/>
      <w:numFmt w:val="bullet"/>
      <w:lvlText w:val="•"/>
      <w:lvlJc w:val="left"/>
      <w:pPr>
        <w:ind w:left="5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E60CFE">
      <w:start w:val="1"/>
      <w:numFmt w:val="bullet"/>
      <w:lvlText w:val="o"/>
      <w:lvlJc w:val="left"/>
      <w:pPr>
        <w:ind w:left="5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263F10">
      <w:start w:val="1"/>
      <w:numFmt w:val="bullet"/>
      <w:lvlText w:val="▪"/>
      <w:lvlJc w:val="left"/>
      <w:pPr>
        <w:ind w:left="6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316242"/>
    <w:multiLevelType w:val="hybridMultilevel"/>
    <w:tmpl w:val="A03C9208"/>
    <w:lvl w:ilvl="0" w:tplc="A332333A">
      <w:start w:val="1"/>
      <w:numFmt w:val="bullet"/>
      <w:lvlText w:val="•"/>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82B4B2">
      <w:start w:val="1"/>
      <w:numFmt w:val="bullet"/>
      <w:lvlText w:val="-"/>
      <w:lvlJc w:val="left"/>
      <w:pPr>
        <w:ind w:left="14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C4370C">
      <w:start w:val="1"/>
      <w:numFmt w:val="bullet"/>
      <w:lvlText w:val="▪"/>
      <w:lvlJc w:val="left"/>
      <w:pPr>
        <w:ind w:left="2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4AAE2C">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AE199E">
      <w:start w:val="1"/>
      <w:numFmt w:val="bullet"/>
      <w:lvlText w:val="o"/>
      <w:lvlJc w:val="left"/>
      <w:pPr>
        <w:ind w:left="3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D072E2">
      <w:start w:val="1"/>
      <w:numFmt w:val="bullet"/>
      <w:lvlText w:val="▪"/>
      <w:lvlJc w:val="left"/>
      <w:pPr>
        <w:ind w:left="4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D461CC">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ECB98">
      <w:start w:val="1"/>
      <w:numFmt w:val="bullet"/>
      <w:lvlText w:val="o"/>
      <w:lvlJc w:val="left"/>
      <w:pPr>
        <w:ind w:left="5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B63718">
      <w:start w:val="1"/>
      <w:numFmt w:val="bullet"/>
      <w:lvlText w:val="▪"/>
      <w:lvlJc w:val="left"/>
      <w:pPr>
        <w:ind w:left="6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A3E2441"/>
    <w:multiLevelType w:val="hybridMultilevel"/>
    <w:tmpl w:val="F9BE934C"/>
    <w:lvl w:ilvl="0" w:tplc="53BE2920">
      <w:start w:val="1"/>
      <w:numFmt w:val="bullet"/>
      <w:lvlText w:val="•"/>
      <w:lvlJc w:val="left"/>
      <w:pPr>
        <w:ind w:left="13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18158C">
      <w:start w:val="1"/>
      <w:numFmt w:val="bullet"/>
      <w:lvlText w:val="o"/>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D213DA">
      <w:start w:val="1"/>
      <w:numFmt w:val="bullet"/>
      <w:lvlText w:val="▪"/>
      <w:lvlJc w:val="left"/>
      <w:pPr>
        <w:ind w:left="27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1C35BC">
      <w:start w:val="1"/>
      <w:numFmt w:val="bullet"/>
      <w:lvlText w:val="•"/>
      <w:lvlJc w:val="left"/>
      <w:pPr>
        <w:ind w:left="3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784D14">
      <w:start w:val="1"/>
      <w:numFmt w:val="bullet"/>
      <w:lvlText w:val="o"/>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BA3D68">
      <w:start w:val="1"/>
      <w:numFmt w:val="bullet"/>
      <w:lvlText w:val="▪"/>
      <w:lvlJc w:val="left"/>
      <w:pPr>
        <w:ind w:left="4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D4C030">
      <w:start w:val="1"/>
      <w:numFmt w:val="bullet"/>
      <w:lvlText w:val="•"/>
      <w:lvlJc w:val="left"/>
      <w:pPr>
        <w:ind w:left="5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88366A">
      <w:start w:val="1"/>
      <w:numFmt w:val="bullet"/>
      <w:lvlText w:val="o"/>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821164">
      <w:start w:val="1"/>
      <w:numFmt w:val="bullet"/>
      <w:lvlText w:val="▪"/>
      <w:lvlJc w:val="left"/>
      <w:pPr>
        <w:ind w:left="7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5A159AB"/>
    <w:multiLevelType w:val="hybridMultilevel"/>
    <w:tmpl w:val="5F769EFE"/>
    <w:lvl w:ilvl="0" w:tplc="EA6CD346">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32EF84">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60BA22">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2631BC">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BAE078">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D2A528">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16C2F6">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D21A1C">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3E7DB0">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7369E9"/>
    <w:multiLevelType w:val="hybridMultilevel"/>
    <w:tmpl w:val="C2B666A8"/>
    <w:lvl w:ilvl="0" w:tplc="9F9E1CD6">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CE932E">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9CE400">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86A9A6">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8632B8">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64D468">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B4E844">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42BC86">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9666E2">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8CA5EAD"/>
    <w:multiLevelType w:val="hybridMultilevel"/>
    <w:tmpl w:val="A09AC1CE"/>
    <w:lvl w:ilvl="0" w:tplc="B2448D20">
      <w:start w:val="1"/>
      <w:numFmt w:val="decimal"/>
      <w:lvlText w:val="%1."/>
      <w:lvlJc w:val="left"/>
      <w:pPr>
        <w:ind w:left="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02E484">
      <w:start w:val="1"/>
      <w:numFmt w:val="lowerLetter"/>
      <w:lvlText w:val="%2"/>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E8C29A">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E04C0A">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2AE47E">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061384">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D85750">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6C9170">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B4C1D4">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50E7DE7"/>
    <w:multiLevelType w:val="hybridMultilevel"/>
    <w:tmpl w:val="A4140B50"/>
    <w:lvl w:ilvl="0" w:tplc="6E182F50">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82A182">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82F986">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B01B62">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5286CA">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14EEE0">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A698B2">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9E29EE">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8685D0">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C4369D4"/>
    <w:multiLevelType w:val="hybridMultilevel"/>
    <w:tmpl w:val="6B342CA4"/>
    <w:lvl w:ilvl="0" w:tplc="F74A852A">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1AD946">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8E8228">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C60BD0">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FAF87E">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6E6108">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CAB29E">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4C99BA">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E67AAC">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DD82218"/>
    <w:multiLevelType w:val="hybridMultilevel"/>
    <w:tmpl w:val="6D082E92"/>
    <w:lvl w:ilvl="0" w:tplc="E0908848">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5CE36C">
      <w:start w:val="1"/>
      <w:numFmt w:val="bullet"/>
      <w:lvlText w:val="o"/>
      <w:lvlJc w:val="left"/>
      <w:pPr>
        <w:ind w:left="1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24F426">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182E9C">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F0698C">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528A20">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5272B4">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D2D8B8">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FEB410">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26060901">
    <w:abstractNumId w:val="11"/>
  </w:num>
  <w:num w:numId="2" w16cid:durableId="1432580776">
    <w:abstractNumId w:val="13"/>
  </w:num>
  <w:num w:numId="3" w16cid:durableId="991301138">
    <w:abstractNumId w:val="3"/>
  </w:num>
  <w:num w:numId="4" w16cid:durableId="1435516763">
    <w:abstractNumId w:val="14"/>
  </w:num>
  <w:num w:numId="5" w16cid:durableId="111286614">
    <w:abstractNumId w:val="10"/>
  </w:num>
  <w:num w:numId="6" w16cid:durableId="1180047729">
    <w:abstractNumId w:val="8"/>
  </w:num>
  <w:num w:numId="7" w16cid:durableId="1949434568">
    <w:abstractNumId w:val="0"/>
  </w:num>
  <w:num w:numId="8" w16cid:durableId="506361069">
    <w:abstractNumId w:val="2"/>
  </w:num>
  <w:num w:numId="9" w16cid:durableId="101152588">
    <w:abstractNumId w:val="1"/>
  </w:num>
  <w:num w:numId="10" w16cid:durableId="224877968">
    <w:abstractNumId w:val="6"/>
  </w:num>
  <w:num w:numId="11" w16cid:durableId="5065123">
    <w:abstractNumId w:val="9"/>
  </w:num>
  <w:num w:numId="12" w16cid:durableId="1192763607">
    <w:abstractNumId w:val="16"/>
  </w:num>
  <w:num w:numId="13" w16cid:durableId="1643268612">
    <w:abstractNumId w:val="7"/>
  </w:num>
  <w:num w:numId="14" w16cid:durableId="772282837">
    <w:abstractNumId w:val="12"/>
  </w:num>
  <w:num w:numId="15" w16cid:durableId="1331911393">
    <w:abstractNumId w:val="15"/>
  </w:num>
  <w:num w:numId="16" w16cid:durableId="908810992">
    <w:abstractNumId w:val="17"/>
  </w:num>
  <w:num w:numId="17" w16cid:durableId="957223028">
    <w:abstractNumId w:val="5"/>
  </w:num>
  <w:num w:numId="18" w16cid:durableId="1711801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53"/>
    <w:rsid w:val="002421D4"/>
    <w:rsid w:val="00425DC1"/>
    <w:rsid w:val="00F42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2BBB"/>
  <w15:docId w15:val="{CECC0084-1D86-4123-8448-FBAA3A0C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61" w:hanging="8"/>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4" w:line="268" w:lineRule="auto"/>
      <w:ind w:left="10" w:right="45"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4" w:line="268" w:lineRule="auto"/>
      <w:ind w:left="10" w:right="45"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0"/>
    </w:rPr>
  </w:style>
  <w:style w:type="paragraph" w:styleId="TOC1">
    <w:name w:val="toc 1"/>
    <w:hidden/>
    <w:pPr>
      <w:spacing w:after="4" w:line="268" w:lineRule="auto"/>
      <w:ind w:left="85" w:right="127" w:hanging="10"/>
    </w:pPr>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ico.org.uk/for-organisations/data-sharing-a-code-of-practice" TargetMode="External"/><Relationship Id="rId21" Type="http://schemas.openxmlformats.org/officeDocument/2006/relationships/hyperlink" Target="https://ico.org.uk/for-organisations/guide-to-data-protection/guide-to-the-general-data-protection-regulation-gdpr/lawful-basis-for-processing/special-category-data/" TargetMode="External"/><Relationship Id="rId34" Type="http://schemas.openxmlformats.org/officeDocument/2006/relationships/hyperlink" Target="https://ico.org.uk/for-organisations/data-sharing-a-code-of-practice" TargetMode="External"/><Relationship Id="rId42" Type="http://schemas.openxmlformats.org/officeDocument/2006/relationships/hyperlink" Target="https://ico.org.uk/for-organisations/uk-gdpr-guidance-and-resources/international-transfers/international-transfers-a-guide/" TargetMode="External"/><Relationship Id="rId47" Type="http://schemas.openxmlformats.org/officeDocument/2006/relationships/hyperlink" Target="https://digital.nhs.uk/services/national-data-opt-out/compliance-with-the-national-data-opt-out" TargetMode="External"/><Relationship Id="rId50" Type="http://schemas.openxmlformats.org/officeDocument/2006/relationships/hyperlink" Target="https://www.nhs.uk/your-nhs-data-matters" TargetMode="External"/><Relationship Id="rId55" Type="http://schemas.openxmlformats.org/officeDocument/2006/relationships/hyperlink" Target="https://www.nhs.uk/your-nhs-data-matters" TargetMode="External"/><Relationship Id="rId63" Type="http://schemas.openxmlformats.org/officeDocument/2006/relationships/image" Target="media/image4.jpg"/><Relationship Id="rId68" Type="http://schemas.openxmlformats.org/officeDocument/2006/relationships/footer" Target="footer5.xml"/><Relationship Id="rId7" Type="http://schemas.openxmlformats.org/officeDocument/2006/relationships/image" Target="media/image1.jp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ata.consilium.europa.eu/doc/document/ST-5419-2016-INIT/en/pdf" TargetMode="External"/><Relationship Id="rId29" Type="http://schemas.openxmlformats.org/officeDocument/2006/relationships/hyperlink" Target="https://ico.org.uk/for-organisations/data-sharing-a-code-of-practice" TargetMode="External"/><Relationship Id="rId24" Type="http://schemas.openxmlformats.org/officeDocument/2006/relationships/hyperlink" Target="https://ico.org.uk/for-organisations/data-sharing-a-code-of-practice" TargetMode="External"/><Relationship Id="rId32" Type="http://schemas.openxmlformats.org/officeDocument/2006/relationships/hyperlink" Target="https://ico.org.uk/for-organisations/data-sharing-a-code-of-practice" TargetMode="External"/><Relationship Id="rId37" Type="http://schemas.openxmlformats.org/officeDocument/2006/relationships/hyperlink" Target="https://ico.org.uk/for-organisations/guide-to-data-protection/guide-to-the-general-data-protection-regulation-gdpr/accountability-and-governance/data-protection-impact-assessments/" TargetMode="External"/><Relationship Id="rId40" Type="http://schemas.openxmlformats.org/officeDocument/2006/relationships/hyperlink" Target="https://ico.org.uk/for-organisations/uk-gdpr-guidance-and-resources/international-transfers/international-transfers-a-guide/" TargetMode="External"/><Relationship Id="rId45" Type="http://schemas.openxmlformats.org/officeDocument/2006/relationships/hyperlink" Target="https://ico.org.uk/media/for-organisations/documents/1542/cctv-code-of-practice.pdf" TargetMode="External"/><Relationship Id="rId53" Type="http://schemas.openxmlformats.org/officeDocument/2006/relationships/hyperlink" Target="https://www.nhs.uk/your-nhs-data-matters" TargetMode="External"/><Relationship Id="rId58" Type="http://schemas.openxmlformats.org/officeDocument/2006/relationships/header" Target="header2.xml"/><Relationship Id="rId66" Type="http://schemas.openxmlformats.org/officeDocument/2006/relationships/header" Target="header5.xm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hyperlink" Target="https://ico.org.uk/for-organisations/guide-to-data-protection/guide-to-the-general-data-protection-regulation-gdpr/lawful-basis-for-processing/special-category-data/" TargetMode="External"/><Relationship Id="rId14" Type="http://schemas.openxmlformats.org/officeDocument/2006/relationships/hyperlink" Target="http://data.consilium.europa.eu/doc/document/ST-5419-2016-INIT/en/pdf" TargetMode="External"/><Relationship Id="rId22" Type="http://schemas.openxmlformats.org/officeDocument/2006/relationships/hyperlink" Target="https://ico.org.uk/for-organisations/guide-to-data-protection/guide-to-the-general-data-protection-regulation-gdpr/lawful-basis-for-processing/special-category-data/" TargetMode="External"/><Relationship Id="rId27" Type="http://schemas.openxmlformats.org/officeDocument/2006/relationships/hyperlink" Target="https://ico.org.uk/for-organisations/data-sharing-a-code-of-practice" TargetMode="External"/><Relationship Id="rId30" Type="http://schemas.openxmlformats.org/officeDocument/2006/relationships/hyperlink" Target="https://ico.org.uk/for-organisations/data-sharing-a-code-of-practice" TargetMode="External"/><Relationship Id="rId35" Type="http://schemas.openxmlformats.org/officeDocument/2006/relationships/hyperlink" Target="https://ico.org.uk/for-organisations/data-sharing-a-code-of-practice" TargetMode="External"/><Relationship Id="rId43" Type="http://schemas.openxmlformats.org/officeDocument/2006/relationships/hyperlink" Target="https://ico.org.uk/media/for-organisations/documents/1542/cctv-code-of-practice.pdf" TargetMode="External"/><Relationship Id="rId48" Type="http://schemas.openxmlformats.org/officeDocument/2006/relationships/hyperlink" Target="https://digital.nhs.uk/services/national-data-opt-out/compliance-with-the-national-data-opt-out" TargetMode="External"/><Relationship Id="rId56" Type="http://schemas.openxmlformats.org/officeDocument/2006/relationships/hyperlink" Target="https://www.nhs.uk/your-nhs-data-matters" TargetMode="External"/><Relationship Id="rId64" Type="http://schemas.openxmlformats.org/officeDocument/2006/relationships/image" Target="media/image2.jpg"/><Relationship Id="rId69" Type="http://schemas.openxmlformats.org/officeDocument/2006/relationships/header" Target="header6.xml"/><Relationship Id="rId51" Type="http://schemas.openxmlformats.org/officeDocument/2006/relationships/hyperlink" Target="https://www.nhs.uk/your-nhs-data-matters" TargetMode="External"/><Relationship Id="rId72" Type="http://schemas.openxmlformats.org/officeDocument/2006/relationships/theme" Target="theme/theme1.xml"/><Relationship Id="rId3" Type="http://schemas.openxmlformats.org/officeDocument/2006/relationships/settings" Target="settings.xml"/><Relationship Id="rId17" Type="http://schemas.openxmlformats.org/officeDocument/2006/relationships/hyperlink" Target="http://data.consilium.europa.eu/doc/document/ST-5419-2016-INIT/en/pdf" TargetMode="External"/><Relationship Id="rId25" Type="http://schemas.openxmlformats.org/officeDocument/2006/relationships/hyperlink" Target="https://ico.org.uk/for-organisations/data-sharing-a-code-of-practice" TargetMode="External"/><Relationship Id="rId33" Type="http://schemas.openxmlformats.org/officeDocument/2006/relationships/hyperlink" Target="https://ico.org.uk/for-organisations/data-sharing-a-code-of-practice" TargetMode="External"/><Relationship Id="rId38" Type="http://schemas.openxmlformats.org/officeDocument/2006/relationships/hyperlink" Target="https://ico.org.uk/for-organisations/uk-gdpr-guidance-and-resources/international-transfers/international-transfers-a-guide/" TargetMode="External"/><Relationship Id="rId46" Type="http://schemas.openxmlformats.org/officeDocument/2006/relationships/hyperlink" Target="https://digital.nhs.uk/services/national-data-opt-out/compliance-with-the-national-data-opt-out" TargetMode="External"/><Relationship Id="rId59" Type="http://schemas.openxmlformats.org/officeDocument/2006/relationships/footer" Target="footer1.xml"/><Relationship Id="rId67" Type="http://schemas.openxmlformats.org/officeDocument/2006/relationships/footer" Target="footer4.xml"/><Relationship Id="rId20" Type="http://schemas.openxmlformats.org/officeDocument/2006/relationships/hyperlink" Target="https://ico.org.uk/for-organisations/guide-to-data-protection/guide-to-the-general-data-protection-regulation-gdpr/lawful-basis-for-processing/special-category-data/" TargetMode="External"/><Relationship Id="rId41" Type="http://schemas.openxmlformats.org/officeDocument/2006/relationships/hyperlink" Target="https://ico.org.uk/for-organisations/uk-gdpr-guidance-and-resources/international-transfers/international-transfers-a-guide/" TargetMode="External"/><Relationship Id="rId54" Type="http://schemas.openxmlformats.org/officeDocument/2006/relationships/hyperlink" Target="https://www.nhs.uk/your-nhs-data-matters" TargetMode="External"/><Relationship Id="rId62" Type="http://schemas.openxmlformats.org/officeDocument/2006/relationships/footer" Target="footer3.xml"/><Relationship Id="rId7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ata.consilium.europa.eu/doc/document/ST-5419-2016-INIT/en/pdf" TargetMode="External"/><Relationship Id="rId23" Type="http://schemas.openxmlformats.org/officeDocument/2006/relationships/hyperlink" Target="https://ico.org.uk/for-organisations/guide-to-data-protection/guide-to-the-general-data-protection-regulation-gdpr/lawful-basis-for-processing/special-category-data/" TargetMode="External"/><Relationship Id="rId28" Type="http://schemas.openxmlformats.org/officeDocument/2006/relationships/hyperlink" Target="https://ico.org.uk/for-organisations/data-sharing-a-code-of-practice" TargetMode="External"/><Relationship Id="rId36" Type="http://schemas.openxmlformats.org/officeDocument/2006/relationships/hyperlink" Target="https://ico.org.uk/for-organisations/guide-to-data-protection/guide-to-the-general-data-protection-regulation-gdpr/accountability-and-governance/data-protection-impact-assessments/" TargetMode="External"/><Relationship Id="rId49" Type="http://schemas.openxmlformats.org/officeDocument/2006/relationships/hyperlink" Target="https://www.nhs.uk/your-nhs-data-matters" TargetMode="External"/><Relationship Id="rId57" Type="http://schemas.openxmlformats.org/officeDocument/2006/relationships/header" Target="header1.xml"/><Relationship Id="rId31" Type="http://schemas.openxmlformats.org/officeDocument/2006/relationships/hyperlink" Target="https://ico.org.uk/for-organisations/data-sharing-a-code-of-practice" TargetMode="External"/><Relationship Id="rId44" Type="http://schemas.openxmlformats.org/officeDocument/2006/relationships/hyperlink" Target="https://ico.org.uk/media/for-organisations/documents/1542/cctv-code-of-practice.pdf" TargetMode="External"/><Relationship Id="rId52" Type="http://schemas.openxmlformats.org/officeDocument/2006/relationships/hyperlink" Target="https://www.nhs.uk/your-nhs-data-matters" TargetMode="External"/><Relationship Id="rId60" Type="http://schemas.openxmlformats.org/officeDocument/2006/relationships/footer" Target="footer2.xml"/><Relationship Id="rId65" Type="http://schemas.openxmlformats.org/officeDocument/2006/relationships/header" Target="header4.xml"/><Relationship Id="rId4"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ico.org.uk/for-organisations/guide-to-data-protection/guide-to-the-general-data-protection-regulation-gdpr/lawful-basis-for-processing/special-category-data/" TargetMode="External"/><Relationship Id="rId39" Type="http://schemas.openxmlformats.org/officeDocument/2006/relationships/hyperlink" Target="https://ico.org.uk/for-organisations/uk-gdpr-guidance-and-resources/international-transfers/international-transfers-a-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5019</Words>
  <Characters>28613</Characters>
  <Application>Microsoft Office Word</Application>
  <DocSecurity>0</DocSecurity>
  <Lines>238</Lines>
  <Paragraphs>67</Paragraphs>
  <ScaleCrop>false</ScaleCrop>
  <Company>Outcomes First Group</Company>
  <LinksUpToDate>false</LinksUpToDate>
  <CharactersWithSpaces>33565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McBride</dc:creator>
  <cp:keywords/>
  <cp:lastModifiedBy>James Shutt (Armley Grange School)</cp:lastModifiedBy>
  <cp:revision>2</cp:revision>
  <dcterms:created xsi:type="dcterms:W3CDTF">2025-11-26T12:15:00Z</dcterms:created>
  <dcterms:modified xsi:type="dcterms:W3CDTF">2025-11-26T12:15:00Z</dcterms:modified>
</cp:coreProperties>
</file>